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71408" w14:textId="77777777" w:rsidR="00077EA3" w:rsidRDefault="00077EA3" w:rsidP="00077EA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D98">
        <w:rPr>
          <w:rFonts w:ascii="Times New Roman" w:hAnsi="Times New Roman" w:cs="Times New Roman"/>
          <w:b/>
          <w:sz w:val="24"/>
          <w:szCs w:val="24"/>
        </w:rPr>
        <w:t xml:space="preserve">Wskaźniki </w:t>
      </w:r>
      <w:r w:rsidR="00797EB0">
        <w:rPr>
          <w:rFonts w:ascii="Times New Roman" w:hAnsi="Times New Roman" w:cs="Times New Roman"/>
          <w:b/>
          <w:sz w:val="24"/>
          <w:szCs w:val="24"/>
        </w:rPr>
        <w:t xml:space="preserve">finansowe i </w:t>
      </w:r>
      <w:r w:rsidRPr="00811D98">
        <w:rPr>
          <w:rFonts w:ascii="Times New Roman" w:hAnsi="Times New Roman" w:cs="Times New Roman"/>
          <w:b/>
          <w:sz w:val="24"/>
          <w:szCs w:val="24"/>
        </w:rPr>
        <w:t xml:space="preserve">niefinansowe w raportach strategicznych </w:t>
      </w:r>
      <w:r w:rsidR="00797EB0">
        <w:rPr>
          <w:rFonts w:ascii="Times New Roman" w:hAnsi="Times New Roman" w:cs="Times New Roman"/>
          <w:b/>
          <w:sz w:val="24"/>
          <w:szCs w:val="24"/>
        </w:rPr>
        <w:t xml:space="preserve">spółek z Wielkiej Brytanii </w:t>
      </w:r>
      <w:r w:rsidRPr="00811D98">
        <w:rPr>
          <w:rFonts w:ascii="Times New Roman" w:hAnsi="Times New Roman" w:cs="Times New Roman"/>
          <w:b/>
          <w:sz w:val="24"/>
          <w:szCs w:val="24"/>
        </w:rPr>
        <w:t>- użyteczność z perspektywy inwestorów odpowiedzialnych społecznie</w:t>
      </w:r>
    </w:p>
    <w:p w14:paraId="03983733" w14:textId="77777777" w:rsidR="00077EA3" w:rsidRPr="00077EA3" w:rsidRDefault="00077EA3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A4D2A" w14:textId="77777777" w:rsidR="00077EA3" w:rsidRPr="00C034BC" w:rsidRDefault="00970EB0" w:rsidP="00077E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7EA3" w:rsidRPr="00C034BC">
        <w:rPr>
          <w:rFonts w:ascii="Times New Roman" w:hAnsi="Times New Roman" w:cs="Times New Roman"/>
          <w:b/>
          <w:sz w:val="24"/>
          <w:szCs w:val="24"/>
        </w:rPr>
        <w:t>Wprowadzenie</w:t>
      </w:r>
    </w:p>
    <w:p w14:paraId="31BEE920" w14:textId="77777777" w:rsid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Według J. Hollanda </w:t>
      </w:r>
      <w:r w:rsidR="00B926D0">
        <w:rPr>
          <w:rFonts w:ascii="Times New Roman" w:hAnsi="Times New Roman" w:cs="Times New Roman"/>
          <w:sz w:val="24"/>
          <w:szCs w:val="24"/>
        </w:rPr>
        <w:t xml:space="preserve">(1998) </w:t>
      </w:r>
      <w:r w:rsidRPr="00077EA3">
        <w:rPr>
          <w:rFonts w:ascii="Times New Roman" w:hAnsi="Times New Roman" w:cs="Times New Roman"/>
          <w:sz w:val="24"/>
          <w:szCs w:val="24"/>
        </w:rPr>
        <w:t>jednym z większych wyzwań sprawozdawczości przedsiębiorstw jest przedstawienie całościowego obrazu jednostki inwestorom, w taki sposób, by była możliwa jej wszechstronna ocena. Prezentacji wszechstronnego obrazu jednostki, jej strategii i modelu biznesu dla spółek notowanych na Giełdzie Londyńskiej (LSE) ma służyć raport strategiczny. Do oceny efektywności</w:t>
      </w:r>
      <w:r w:rsidR="00B926D0">
        <w:rPr>
          <w:rFonts w:ascii="Times New Roman" w:hAnsi="Times New Roman" w:cs="Times New Roman"/>
          <w:sz w:val="24"/>
          <w:szCs w:val="24"/>
        </w:rPr>
        <w:t xml:space="preserve"> spółek i ich oddziaływania na środowisko </w:t>
      </w:r>
      <w:commentRangeStart w:id="0"/>
      <w:r w:rsidR="00B926D0">
        <w:rPr>
          <w:rFonts w:ascii="Times New Roman" w:hAnsi="Times New Roman" w:cs="Times New Roman"/>
          <w:sz w:val="24"/>
          <w:szCs w:val="24"/>
        </w:rPr>
        <w:t xml:space="preserve">i </w:t>
      </w:r>
      <w:commentRangeEnd w:id="0"/>
      <w:r w:rsidR="00C26535">
        <w:rPr>
          <w:rStyle w:val="Odwoaniedokomentarza"/>
        </w:rPr>
        <w:commentReference w:id="0"/>
      </w:r>
      <w:r w:rsidR="00B926D0">
        <w:rPr>
          <w:rFonts w:ascii="Times New Roman" w:hAnsi="Times New Roman" w:cs="Times New Roman"/>
          <w:sz w:val="24"/>
          <w:szCs w:val="24"/>
        </w:rPr>
        <w:t xml:space="preserve">społeczeństwo mogą </w:t>
      </w:r>
      <w:r w:rsidR="008A6EFB">
        <w:rPr>
          <w:rFonts w:ascii="Times New Roman" w:hAnsi="Times New Roman" w:cs="Times New Roman"/>
          <w:sz w:val="24"/>
          <w:szCs w:val="24"/>
        </w:rPr>
        <w:t xml:space="preserve">inwestorzy instytucjonalni </w:t>
      </w:r>
      <w:r w:rsidR="00970EB0">
        <w:rPr>
          <w:rFonts w:ascii="Times New Roman" w:hAnsi="Times New Roman" w:cs="Times New Roman"/>
          <w:sz w:val="24"/>
          <w:szCs w:val="24"/>
        </w:rPr>
        <w:t>stosujący</w:t>
      </w:r>
      <w:r w:rsidR="008A6EFB">
        <w:rPr>
          <w:rFonts w:ascii="Times New Roman" w:hAnsi="Times New Roman" w:cs="Times New Roman"/>
          <w:sz w:val="24"/>
          <w:szCs w:val="24"/>
        </w:rPr>
        <w:t xml:space="preserve"> strategie inwestowania społecznie odpowiedzialnego </w:t>
      </w:r>
      <w:commentRangeStart w:id="1"/>
      <w:r w:rsidR="008A6EFB">
        <w:rPr>
          <w:rFonts w:ascii="Times New Roman" w:hAnsi="Times New Roman" w:cs="Times New Roman"/>
          <w:sz w:val="24"/>
          <w:szCs w:val="24"/>
        </w:rPr>
        <w:t xml:space="preserve">mogą  wykorzystywać </w:t>
      </w:r>
      <w:commentRangeEnd w:id="1"/>
      <w:r w:rsidR="00C26535">
        <w:rPr>
          <w:rStyle w:val="Odwoaniedokomentarza"/>
        </w:rPr>
        <w:commentReference w:id="1"/>
      </w:r>
      <w:r w:rsidRPr="00077EA3">
        <w:rPr>
          <w:rFonts w:ascii="Times New Roman" w:hAnsi="Times New Roman" w:cs="Times New Roman"/>
          <w:sz w:val="24"/>
          <w:szCs w:val="24"/>
        </w:rPr>
        <w:t xml:space="preserve">mierniki dokonań  </w:t>
      </w:r>
      <w:r w:rsidR="008A6EFB">
        <w:rPr>
          <w:rFonts w:ascii="Times New Roman" w:hAnsi="Times New Roman" w:cs="Times New Roman"/>
          <w:sz w:val="24"/>
          <w:szCs w:val="24"/>
        </w:rPr>
        <w:t xml:space="preserve">zawarte w raportach strategicznych. </w:t>
      </w:r>
    </w:p>
    <w:p w14:paraId="04023231" w14:textId="77777777" w:rsid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Celem artykułu jest przeanalizowanie w jakim stopniu mierniki dokonań, prezentowane w raportach strategicznych spółek wchodzących w skład indeksu FTSE Techmark, </w:t>
      </w:r>
      <w:r w:rsidR="00DF7BA3" w:rsidRPr="00077EA3">
        <w:rPr>
          <w:rFonts w:ascii="Times New Roman" w:hAnsi="Times New Roman" w:cs="Times New Roman"/>
          <w:sz w:val="24"/>
          <w:szCs w:val="24"/>
        </w:rPr>
        <w:t xml:space="preserve">są </w:t>
      </w:r>
      <w:r w:rsidR="00DF7BA3">
        <w:rPr>
          <w:rFonts w:ascii="Times New Roman" w:hAnsi="Times New Roman" w:cs="Times New Roman"/>
          <w:sz w:val="24"/>
          <w:szCs w:val="24"/>
        </w:rPr>
        <w:t xml:space="preserve">użyteczne </w:t>
      </w:r>
      <w:r w:rsidR="00DF7BA3" w:rsidRPr="00077EA3">
        <w:rPr>
          <w:rFonts w:ascii="Times New Roman" w:hAnsi="Times New Roman" w:cs="Times New Roman"/>
          <w:sz w:val="24"/>
          <w:szCs w:val="24"/>
        </w:rPr>
        <w:t xml:space="preserve"> jako źródło informacji dla inwestorów stosujących strategie inwestowania społecznie odpowiedzialnego</w:t>
      </w:r>
      <w:r w:rsidR="00CB2D8C">
        <w:rPr>
          <w:rFonts w:ascii="Times New Roman" w:hAnsi="Times New Roman" w:cs="Times New Roman"/>
          <w:sz w:val="24"/>
          <w:szCs w:val="24"/>
        </w:rPr>
        <w:t>.</w:t>
      </w:r>
      <w:r w:rsidRPr="00077E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C3E4E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Artykuł składa się z następujących części. W punkcie drugim został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7EA3">
        <w:rPr>
          <w:rFonts w:ascii="Times New Roman" w:hAnsi="Times New Roman" w:cs="Times New Roman"/>
          <w:sz w:val="24"/>
          <w:szCs w:val="24"/>
        </w:rPr>
        <w:t xml:space="preserve"> przeanalizowan</w:t>
      </w:r>
      <w:r>
        <w:rPr>
          <w:rFonts w:ascii="Times New Roman" w:hAnsi="Times New Roman" w:cs="Times New Roman"/>
          <w:sz w:val="24"/>
          <w:szCs w:val="24"/>
        </w:rPr>
        <w:t xml:space="preserve">e pojęcia użyteczności informacji dla inwestorów oraz zastosowania wskaźników finansowych i niefinansowych. </w:t>
      </w:r>
      <w:r w:rsidRPr="00077EA3">
        <w:rPr>
          <w:rFonts w:ascii="Times New Roman" w:hAnsi="Times New Roman" w:cs="Times New Roman"/>
          <w:sz w:val="24"/>
          <w:szCs w:val="24"/>
        </w:rPr>
        <w:t xml:space="preserve"> Punkt trzeci jest poświęcony </w:t>
      </w:r>
      <w:r>
        <w:rPr>
          <w:rFonts w:ascii="Times New Roman" w:hAnsi="Times New Roman" w:cs="Times New Roman"/>
          <w:sz w:val="24"/>
          <w:szCs w:val="24"/>
        </w:rPr>
        <w:t>strategiom</w:t>
      </w:r>
      <w:r w:rsidRPr="00077EA3">
        <w:rPr>
          <w:rFonts w:ascii="Times New Roman" w:hAnsi="Times New Roman" w:cs="Times New Roman"/>
          <w:sz w:val="24"/>
          <w:szCs w:val="24"/>
        </w:rPr>
        <w:t xml:space="preserve"> inwestowania </w:t>
      </w:r>
      <w:r>
        <w:rPr>
          <w:rFonts w:ascii="Times New Roman" w:hAnsi="Times New Roman" w:cs="Times New Roman"/>
          <w:sz w:val="24"/>
          <w:szCs w:val="24"/>
        </w:rPr>
        <w:t xml:space="preserve">społecznie odpowiedzialnego </w:t>
      </w:r>
      <w:r w:rsidRPr="00077EA3">
        <w:rPr>
          <w:rFonts w:ascii="Times New Roman" w:hAnsi="Times New Roman" w:cs="Times New Roman"/>
          <w:sz w:val="24"/>
          <w:szCs w:val="24"/>
        </w:rPr>
        <w:t>oraz stop</w:t>
      </w:r>
      <w:r>
        <w:rPr>
          <w:rFonts w:ascii="Times New Roman" w:hAnsi="Times New Roman" w:cs="Times New Roman"/>
          <w:sz w:val="24"/>
          <w:szCs w:val="24"/>
        </w:rPr>
        <w:t xml:space="preserve">niowi </w:t>
      </w:r>
      <w:r w:rsidRPr="00077EA3">
        <w:rPr>
          <w:rFonts w:ascii="Times New Roman" w:hAnsi="Times New Roman" w:cs="Times New Roman"/>
          <w:sz w:val="24"/>
          <w:szCs w:val="24"/>
        </w:rPr>
        <w:t xml:space="preserve"> ich rozpowszechnienia w Wielkiej Brytanii. </w:t>
      </w:r>
      <w:r>
        <w:rPr>
          <w:rFonts w:ascii="Times New Roman" w:hAnsi="Times New Roman" w:cs="Times New Roman"/>
          <w:sz w:val="24"/>
          <w:szCs w:val="24"/>
        </w:rPr>
        <w:t>W punkcie czwartym</w:t>
      </w:r>
      <w:r w:rsidRPr="00077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zostały zaprezentowane wymagania stawiane raportowi strategicznemu</w:t>
      </w:r>
      <w:r w:rsidRPr="00077EA3">
        <w:rPr>
          <w:rFonts w:ascii="Times New Roman" w:hAnsi="Times New Roman" w:cs="Times New Roman"/>
          <w:sz w:val="24"/>
          <w:szCs w:val="24"/>
        </w:rPr>
        <w:t xml:space="preserve"> przedstawiona metodyka badania i sposób doboru próby badawczej. Punkt piąty </w:t>
      </w:r>
      <w:r w:rsidR="009E10B4" w:rsidRPr="00077EA3">
        <w:rPr>
          <w:rFonts w:ascii="Times New Roman" w:hAnsi="Times New Roman" w:cs="Times New Roman"/>
          <w:sz w:val="24"/>
          <w:szCs w:val="24"/>
        </w:rPr>
        <w:t xml:space="preserve">obejmuje </w:t>
      </w:r>
      <w:r w:rsidR="009E10B4">
        <w:rPr>
          <w:rFonts w:ascii="Times New Roman" w:hAnsi="Times New Roman" w:cs="Times New Roman"/>
          <w:sz w:val="24"/>
          <w:szCs w:val="24"/>
        </w:rPr>
        <w:t>metodyk</w:t>
      </w:r>
      <w:r w:rsidR="00B926D0">
        <w:rPr>
          <w:rFonts w:ascii="Times New Roman" w:hAnsi="Times New Roman" w:cs="Times New Roman"/>
          <w:sz w:val="24"/>
          <w:szCs w:val="24"/>
        </w:rPr>
        <w:t>ę</w:t>
      </w:r>
      <w:r w:rsidR="009E10B4">
        <w:rPr>
          <w:rFonts w:ascii="Times New Roman" w:hAnsi="Times New Roman" w:cs="Times New Roman"/>
          <w:sz w:val="24"/>
          <w:szCs w:val="24"/>
        </w:rPr>
        <w:t xml:space="preserve"> badania,</w:t>
      </w:r>
      <w:r w:rsidR="009E10B4" w:rsidRPr="00077EA3">
        <w:rPr>
          <w:rFonts w:ascii="Times New Roman" w:hAnsi="Times New Roman" w:cs="Times New Roman"/>
          <w:sz w:val="24"/>
          <w:szCs w:val="24"/>
        </w:rPr>
        <w:t xml:space="preserve"> sposób doboru próby badawczej </w:t>
      </w:r>
      <w:r w:rsidR="009E10B4">
        <w:rPr>
          <w:rFonts w:ascii="Times New Roman" w:hAnsi="Times New Roman" w:cs="Times New Roman"/>
          <w:sz w:val="24"/>
          <w:szCs w:val="24"/>
        </w:rPr>
        <w:t xml:space="preserve">oraz </w:t>
      </w:r>
      <w:r w:rsidRPr="00077EA3">
        <w:rPr>
          <w:rFonts w:ascii="Times New Roman" w:hAnsi="Times New Roman" w:cs="Times New Roman"/>
          <w:sz w:val="24"/>
          <w:szCs w:val="24"/>
        </w:rPr>
        <w:t>prezentację i analizę wyników badania empirycznego. W zakończeniu zostały przedstawione wnioski i wskazówki odnośnie kierunków dalszych badań.</w:t>
      </w:r>
    </w:p>
    <w:p w14:paraId="7EFF16E1" w14:textId="77777777" w:rsidR="00933059" w:rsidRDefault="00933059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DA47C" w14:textId="77777777" w:rsidR="0067420E" w:rsidRPr="009E10B4" w:rsidRDefault="00CB2D8C" w:rsidP="00077E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5C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420E" w:rsidRPr="009E10B4">
        <w:rPr>
          <w:rFonts w:ascii="Times New Roman" w:hAnsi="Times New Roman" w:cs="Times New Roman"/>
          <w:b/>
          <w:sz w:val="24"/>
          <w:szCs w:val="24"/>
        </w:rPr>
        <w:t>Użyteczność</w:t>
      </w:r>
      <w:r w:rsidR="009E10B4" w:rsidRPr="009E10B4">
        <w:rPr>
          <w:rFonts w:ascii="Times New Roman" w:hAnsi="Times New Roman" w:cs="Times New Roman"/>
          <w:b/>
          <w:sz w:val="24"/>
          <w:szCs w:val="24"/>
        </w:rPr>
        <w:t xml:space="preserve"> mierników finansowych i niefinansowych dla inwestorów</w:t>
      </w:r>
    </w:p>
    <w:p w14:paraId="5B3BEE81" w14:textId="77777777" w:rsidR="0067420E" w:rsidRDefault="0067420E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Użyteczność informacji jest pojęciem uzależnionym od kontekstu. Czynnikami wpływającymi na użyteczność informacji są odbiorca, nadawca, </w:t>
      </w:r>
      <w:r w:rsidR="002D483F">
        <w:rPr>
          <w:rFonts w:ascii="Times New Roman" w:hAnsi="Times New Roman" w:cs="Times New Roman"/>
          <w:sz w:val="24"/>
          <w:szCs w:val="24"/>
        </w:rPr>
        <w:t xml:space="preserve">zakres i forma </w:t>
      </w:r>
      <w:r w:rsidR="00797EB0">
        <w:rPr>
          <w:rFonts w:ascii="Times New Roman" w:hAnsi="Times New Roman" w:cs="Times New Roman"/>
          <w:sz w:val="24"/>
          <w:szCs w:val="24"/>
        </w:rPr>
        <w:t>komunikatu</w:t>
      </w:r>
      <w:r w:rsidR="002D48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sytuacja</w:t>
      </w:r>
      <w:r w:rsidR="00CB2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której przekazywana jest informacja oraz kanał przekazywania informacji.</w:t>
      </w:r>
    </w:p>
    <w:p w14:paraId="2539B351" w14:textId="77777777" w:rsidR="0067420E" w:rsidRDefault="0067420E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Zagadnieniem użyteczności informacji zajmują</w:t>
      </w:r>
      <w:r w:rsidR="00CB2D8C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między innymi dziedziny wiedzy t</w:t>
      </w:r>
      <w:r w:rsidR="00CB2D8C">
        <w:rPr>
          <w:rFonts w:ascii="Times New Roman" w:hAnsi="Times New Roman" w:cs="Times New Roman"/>
          <w:sz w:val="24"/>
          <w:szCs w:val="24"/>
        </w:rPr>
        <w:t>akie jak ekonomia, rachunkowość,</w:t>
      </w:r>
      <w:r>
        <w:rPr>
          <w:rFonts w:ascii="Times New Roman" w:hAnsi="Times New Roman" w:cs="Times New Roman"/>
          <w:sz w:val="24"/>
          <w:szCs w:val="24"/>
        </w:rPr>
        <w:t xml:space="preserve"> finanse, zarządzanie, marketing, a także matematyka i informatyka. </w:t>
      </w:r>
    </w:p>
    <w:p w14:paraId="31A0E5D8" w14:textId="77777777" w:rsidR="002D483F" w:rsidRDefault="002D483F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analizowanym w artykule nadawcą informacji jest spółka giełdowa</w:t>
      </w:r>
      <w:r w:rsidR="00CB2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odbiorcą inwestor stosujący jedną ze strategii inwestowa</w:t>
      </w:r>
      <w:r w:rsidR="00CB2D8C">
        <w:rPr>
          <w:rFonts w:ascii="Times New Roman" w:hAnsi="Times New Roman" w:cs="Times New Roman"/>
          <w:sz w:val="24"/>
          <w:szCs w:val="24"/>
        </w:rPr>
        <w:t>nia społecznie odpowiedzialnego,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D8C">
        <w:rPr>
          <w:rFonts w:ascii="Times New Roman" w:hAnsi="Times New Roman" w:cs="Times New Roman"/>
          <w:sz w:val="24"/>
          <w:szCs w:val="24"/>
        </w:rPr>
        <w:t xml:space="preserve">zaś </w:t>
      </w:r>
      <w:r>
        <w:rPr>
          <w:rFonts w:ascii="Times New Roman" w:hAnsi="Times New Roman" w:cs="Times New Roman"/>
          <w:sz w:val="24"/>
          <w:szCs w:val="24"/>
        </w:rPr>
        <w:t>komunikat</w:t>
      </w:r>
      <w:r w:rsidR="00CB2D8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część raportu rocznego określana raportem strategicznym.</w:t>
      </w:r>
    </w:p>
    <w:p w14:paraId="049E6AE3" w14:textId="77777777" w:rsidR="00A7313D" w:rsidRDefault="00A7313D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Użyteczność informacji zawartych w raportach rocznych może być rozpatrywana na gruncie różnych teorii. Na przykład, na gruncie teorii racjonalnych oczekiwań</w:t>
      </w:r>
      <w:r w:rsidR="00CB2D8C">
        <w:rPr>
          <w:rFonts w:ascii="Times New Roman" w:hAnsi="Times New Roman" w:cs="Times New Roman"/>
          <w:sz w:val="24"/>
          <w:szCs w:val="24"/>
        </w:rPr>
        <w:t>,</w:t>
      </w:r>
      <w:r w:rsidR="00E83FA0">
        <w:rPr>
          <w:rFonts w:ascii="Times New Roman" w:hAnsi="Times New Roman" w:cs="Times New Roman"/>
          <w:sz w:val="24"/>
          <w:szCs w:val="24"/>
        </w:rPr>
        <w:t xml:space="preserve"> ze względu na </w:t>
      </w:r>
      <w:r w:rsidR="00CB2D8C">
        <w:rPr>
          <w:rFonts w:ascii="Times New Roman" w:hAnsi="Times New Roman" w:cs="Times New Roman"/>
          <w:sz w:val="24"/>
          <w:szCs w:val="24"/>
        </w:rPr>
        <w:t xml:space="preserve">wysoką </w:t>
      </w:r>
      <w:r w:rsidR="00E83FA0">
        <w:rPr>
          <w:rFonts w:ascii="Times New Roman" w:hAnsi="Times New Roman" w:cs="Times New Roman"/>
          <w:sz w:val="24"/>
          <w:szCs w:val="24"/>
        </w:rPr>
        <w:t>efektywność rynku kapitałowego</w:t>
      </w:r>
      <w:r w:rsidR="00CB2D8C">
        <w:rPr>
          <w:rFonts w:ascii="Times New Roman" w:hAnsi="Times New Roman" w:cs="Times New Roman"/>
          <w:sz w:val="24"/>
          <w:szCs w:val="24"/>
        </w:rPr>
        <w:t>,</w:t>
      </w:r>
      <w:r w:rsidR="00E83FA0">
        <w:rPr>
          <w:rFonts w:ascii="Times New Roman" w:hAnsi="Times New Roman" w:cs="Times New Roman"/>
          <w:sz w:val="24"/>
          <w:szCs w:val="24"/>
        </w:rPr>
        <w:t xml:space="preserve"> </w:t>
      </w:r>
      <w:r w:rsidR="00E83FA0" w:rsidRPr="00E83FA0">
        <w:rPr>
          <w:rFonts w:ascii="Times New Roman" w:hAnsi="Times New Roman" w:cs="Times New Roman"/>
          <w:sz w:val="24"/>
          <w:szCs w:val="24"/>
        </w:rPr>
        <w:t>rynek jest</w:t>
      </w:r>
      <w:r w:rsidR="00E83FA0">
        <w:rPr>
          <w:rFonts w:ascii="Times New Roman" w:hAnsi="Times New Roman" w:cs="Times New Roman"/>
          <w:sz w:val="24"/>
          <w:szCs w:val="24"/>
        </w:rPr>
        <w:t xml:space="preserve"> </w:t>
      </w:r>
      <w:r w:rsidR="00CB2D8C">
        <w:rPr>
          <w:rFonts w:ascii="Times New Roman" w:hAnsi="Times New Roman" w:cs="Times New Roman"/>
          <w:sz w:val="24"/>
          <w:szCs w:val="24"/>
        </w:rPr>
        <w:t>doskonałym</w:t>
      </w:r>
      <w:r w:rsidR="00E83FA0" w:rsidRPr="00E83FA0">
        <w:rPr>
          <w:rFonts w:ascii="Times New Roman" w:hAnsi="Times New Roman" w:cs="Times New Roman"/>
          <w:sz w:val="24"/>
          <w:szCs w:val="24"/>
        </w:rPr>
        <w:t xml:space="preserve"> narzędziem odkrywania racjonalnej ceny przy danym zbiorze informacji</w:t>
      </w:r>
      <w:r w:rsidR="00E83FA0">
        <w:rPr>
          <w:rFonts w:ascii="Times New Roman" w:hAnsi="Times New Roman" w:cs="Times New Roman"/>
          <w:sz w:val="24"/>
          <w:szCs w:val="24"/>
        </w:rPr>
        <w:t>. Zdaniem K. Klimczaka (2014</w:t>
      </w:r>
      <w:r w:rsidR="00D0508D">
        <w:rPr>
          <w:rFonts w:ascii="Times New Roman" w:hAnsi="Times New Roman" w:cs="Times New Roman"/>
          <w:sz w:val="24"/>
          <w:szCs w:val="24"/>
        </w:rPr>
        <w:t>, s. 28-30</w:t>
      </w:r>
      <w:r w:rsidR="00E83FA0">
        <w:rPr>
          <w:rFonts w:ascii="Times New Roman" w:hAnsi="Times New Roman" w:cs="Times New Roman"/>
          <w:sz w:val="24"/>
          <w:szCs w:val="24"/>
        </w:rPr>
        <w:t>) t</w:t>
      </w:r>
      <w:r w:rsidR="00E83FA0" w:rsidRPr="00E83FA0">
        <w:rPr>
          <w:rFonts w:ascii="Times New Roman" w:hAnsi="Times New Roman" w:cs="Times New Roman"/>
          <w:sz w:val="24"/>
          <w:szCs w:val="24"/>
        </w:rPr>
        <w:t xml:space="preserve">eoria racjonalnych </w:t>
      </w:r>
      <w:r w:rsidR="00E83FA0">
        <w:rPr>
          <w:rFonts w:ascii="Times New Roman" w:hAnsi="Times New Roman" w:cs="Times New Roman"/>
          <w:sz w:val="24"/>
          <w:szCs w:val="24"/>
        </w:rPr>
        <w:t>oczekiwań posiada efekt uboczny polegający na tym, że</w:t>
      </w:r>
      <w:r w:rsidR="00E83FA0" w:rsidRPr="00E83FA0">
        <w:rPr>
          <w:rFonts w:ascii="Times New Roman" w:hAnsi="Times New Roman" w:cs="Times New Roman"/>
          <w:sz w:val="24"/>
          <w:szCs w:val="24"/>
        </w:rPr>
        <w:t xml:space="preserve"> pozyskiwanie informacji jest nieopłacalne</w:t>
      </w:r>
      <w:r w:rsidR="00CB2D8C">
        <w:rPr>
          <w:rFonts w:ascii="Times New Roman" w:hAnsi="Times New Roman" w:cs="Times New Roman"/>
          <w:sz w:val="24"/>
          <w:szCs w:val="24"/>
        </w:rPr>
        <w:t>,</w:t>
      </w:r>
      <w:r w:rsidR="00E83FA0" w:rsidRPr="00E83FA0">
        <w:rPr>
          <w:rFonts w:ascii="Times New Roman" w:hAnsi="Times New Roman" w:cs="Times New Roman"/>
          <w:sz w:val="24"/>
          <w:szCs w:val="24"/>
        </w:rPr>
        <w:t xml:space="preserve"> </w:t>
      </w:r>
      <w:r w:rsidR="00E83FA0">
        <w:rPr>
          <w:rFonts w:ascii="Times New Roman" w:hAnsi="Times New Roman" w:cs="Times New Roman"/>
          <w:sz w:val="24"/>
          <w:szCs w:val="24"/>
        </w:rPr>
        <w:t>ponieważ</w:t>
      </w:r>
      <w:r w:rsidR="00E83FA0" w:rsidRPr="00E83FA0">
        <w:rPr>
          <w:rFonts w:ascii="Times New Roman" w:hAnsi="Times New Roman" w:cs="Times New Roman"/>
          <w:sz w:val="24"/>
          <w:szCs w:val="24"/>
        </w:rPr>
        <w:t xml:space="preserve"> posiadanie prywatnej informacji</w:t>
      </w:r>
      <w:r w:rsidR="00E83FA0">
        <w:rPr>
          <w:rFonts w:ascii="Times New Roman" w:hAnsi="Times New Roman" w:cs="Times New Roman"/>
          <w:sz w:val="24"/>
          <w:szCs w:val="24"/>
        </w:rPr>
        <w:t xml:space="preserve"> </w:t>
      </w:r>
      <w:r w:rsidR="00E83FA0" w:rsidRPr="00E83FA0">
        <w:rPr>
          <w:rFonts w:ascii="Times New Roman" w:hAnsi="Times New Roman" w:cs="Times New Roman"/>
          <w:sz w:val="24"/>
          <w:szCs w:val="24"/>
        </w:rPr>
        <w:t>nie przyn</w:t>
      </w:r>
      <w:r w:rsidR="00E83FA0">
        <w:rPr>
          <w:rFonts w:ascii="Times New Roman" w:hAnsi="Times New Roman" w:cs="Times New Roman"/>
          <w:sz w:val="24"/>
          <w:szCs w:val="24"/>
        </w:rPr>
        <w:t xml:space="preserve">osi korzyści w dłuższym okresie. Podkreśla on również,  </w:t>
      </w:r>
      <w:r w:rsidR="00E83FA0" w:rsidRPr="00E83FA0">
        <w:rPr>
          <w:rFonts w:ascii="Times New Roman" w:hAnsi="Times New Roman" w:cs="Times New Roman"/>
          <w:sz w:val="24"/>
          <w:szCs w:val="24"/>
        </w:rPr>
        <w:t>że podejście teorii racjonalnych oczekiwań jest sprzeczne z teorią decyzji, która</w:t>
      </w:r>
      <w:r w:rsidR="00E83FA0">
        <w:rPr>
          <w:rFonts w:ascii="Times New Roman" w:hAnsi="Times New Roman" w:cs="Times New Roman"/>
          <w:sz w:val="24"/>
          <w:szCs w:val="24"/>
        </w:rPr>
        <w:t xml:space="preserve"> </w:t>
      </w:r>
      <w:r w:rsidR="00E83FA0" w:rsidRPr="00E83FA0">
        <w:rPr>
          <w:rFonts w:ascii="Times New Roman" w:hAnsi="Times New Roman" w:cs="Times New Roman"/>
          <w:sz w:val="24"/>
          <w:szCs w:val="24"/>
        </w:rPr>
        <w:t>zakłada, że pozyskanie dodatkowych informacji pozwala na ograniczenie niepewności i podjęcie</w:t>
      </w:r>
      <w:r w:rsidR="00E83FA0">
        <w:rPr>
          <w:rFonts w:ascii="Times New Roman" w:hAnsi="Times New Roman" w:cs="Times New Roman"/>
          <w:sz w:val="24"/>
          <w:szCs w:val="24"/>
        </w:rPr>
        <w:t xml:space="preserve"> </w:t>
      </w:r>
      <w:r w:rsidR="00E83FA0" w:rsidRPr="00E83FA0">
        <w:rPr>
          <w:rFonts w:ascii="Times New Roman" w:hAnsi="Times New Roman" w:cs="Times New Roman"/>
          <w:sz w:val="24"/>
          <w:szCs w:val="24"/>
        </w:rPr>
        <w:t>lepszej decyzji (Citanna i Villanacci, 2000).</w:t>
      </w:r>
    </w:p>
    <w:p w14:paraId="4C772AA8" w14:textId="77777777" w:rsidR="002D483F" w:rsidRDefault="002D483F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Rachunkowość jako nauka i jako działalność praktyczna zidentyfikowała szereg cech wpływających na </w:t>
      </w:r>
      <w:r w:rsidR="00D91552">
        <w:rPr>
          <w:rFonts w:ascii="Times New Roman" w:hAnsi="Times New Roman" w:cs="Times New Roman"/>
          <w:sz w:val="24"/>
          <w:szCs w:val="24"/>
        </w:rPr>
        <w:t>użyteczność informacji dla inwestorów. Porównanie tych cech zgodnie z zaleceniami Rady Międzynarodowych Standardów Rachunkowości</w:t>
      </w:r>
      <w:r w:rsidR="008A6EFB">
        <w:rPr>
          <w:rFonts w:ascii="Times New Roman" w:hAnsi="Times New Roman" w:cs="Times New Roman"/>
          <w:sz w:val="24"/>
          <w:szCs w:val="24"/>
        </w:rPr>
        <w:t xml:space="preserve"> (RMSR, </w:t>
      </w:r>
      <w:r w:rsidR="00A75016">
        <w:rPr>
          <w:rFonts w:ascii="Times New Roman" w:hAnsi="Times New Roman" w:cs="Times New Roman"/>
          <w:sz w:val="24"/>
          <w:szCs w:val="24"/>
        </w:rPr>
        <w:t>ang.</w:t>
      </w:r>
      <w:r w:rsidR="008A6EFB">
        <w:rPr>
          <w:rFonts w:ascii="Times New Roman" w:hAnsi="Times New Roman" w:cs="Times New Roman"/>
          <w:sz w:val="24"/>
          <w:szCs w:val="24"/>
        </w:rPr>
        <w:t xml:space="preserve"> </w:t>
      </w:r>
      <w:r w:rsidR="008A6EFB" w:rsidRPr="008A6EFB">
        <w:rPr>
          <w:rFonts w:ascii="Times New Roman" w:hAnsi="Times New Roman" w:cs="Times New Roman"/>
          <w:i/>
          <w:sz w:val="24"/>
          <w:szCs w:val="24"/>
          <w:lang w:val="en-GB"/>
        </w:rPr>
        <w:t>International Accounting Standards Board</w:t>
      </w:r>
      <w:r w:rsidR="008A6EFB">
        <w:rPr>
          <w:rFonts w:ascii="Times New Roman" w:hAnsi="Times New Roman" w:cs="Times New Roman"/>
          <w:sz w:val="24"/>
          <w:szCs w:val="24"/>
        </w:rPr>
        <w:t xml:space="preserve">)  </w:t>
      </w:r>
      <w:r w:rsidR="00D91552">
        <w:rPr>
          <w:rFonts w:ascii="Times New Roman" w:hAnsi="Times New Roman" w:cs="Times New Roman"/>
          <w:sz w:val="24"/>
          <w:szCs w:val="24"/>
        </w:rPr>
        <w:t>i Komitetu Raportowania Finansowego (</w:t>
      </w:r>
      <w:r w:rsidR="008A6EFB">
        <w:rPr>
          <w:rFonts w:ascii="Times New Roman" w:hAnsi="Times New Roman" w:cs="Times New Roman"/>
          <w:sz w:val="24"/>
          <w:szCs w:val="24"/>
        </w:rPr>
        <w:t xml:space="preserve">KRF, </w:t>
      </w:r>
      <w:r w:rsidR="00D91552">
        <w:rPr>
          <w:rFonts w:ascii="Times New Roman" w:hAnsi="Times New Roman" w:cs="Times New Roman"/>
          <w:sz w:val="24"/>
          <w:szCs w:val="24"/>
        </w:rPr>
        <w:t xml:space="preserve">ang. </w:t>
      </w:r>
      <w:r w:rsidR="00D91552" w:rsidRPr="00A75016">
        <w:rPr>
          <w:rFonts w:ascii="Times New Roman" w:hAnsi="Times New Roman" w:cs="Times New Roman"/>
          <w:i/>
          <w:sz w:val="24"/>
          <w:szCs w:val="24"/>
        </w:rPr>
        <w:t>Financial Reportig Committee</w:t>
      </w:r>
      <w:r w:rsidR="00D91552">
        <w:rPr>
          <w:rFonts w:ascii="Times New Roman" w:hAnsi="Times New Roman" w:cs="Times New Roman"/>
          <w:sz w:val="24"/>
          <w:szCs w:val="24"/>
        </w:rPr>
        <w:t xml:space="preserve">) </w:t>
      </w:r>
      <w:r w:rsidR="00A75016">
        <w:rPr>
          <w:rFonts w:ascii="Times New Roman" w:hAnsi="Times New Roman" w:cs="Times New Roman"/>
          <w:sz w:val="24"/>
          <w:szCs w:val="24"/>
        </w:rPr>
        <w:t>został</w:t>
      </w:r>
      <w:r w:rsidR="00CB2D8C">
        <w:rPr>
          <w:rFonts w:ascii="Times New Roman" w:hAnsi="Times New Roman" w:cs="Times New Roman"/>
          <w:sz w:val="24"/>
          <w:szCs w:val="24"/>
        </w:rPr>
        <w:t>o</w:t>
      </w:r>
      <w:r w:rsidR="00D91552">
        <w:rPr>
          <w:rFonts w:ascii="Times New Roman" w:hAnsi="Times New Roman" w:cs="Times New Roman"/>
          <w:sz w:val="24"/>
          <w:szCs w:val="24"/>
        </w:rPr>
        <w:t xml:space="preserve"> przedstawione w tabeli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C3E9C" w14:textId="77777777" w:rsidR="00FA4201" w:rsidRPr="00CB2D8C" w:rsidRDefault="009E10B4" w:rsidP="00CB2D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2D8C">
        <w:rPr>
          <w:rFonts w:ascii="Times New Roman" w:hAnsi="Times New Roman" w:cs="Times New Roman"/>
          <w:sz w:val="24"/>
          <w:szCs w:val="24"/>
        </w:rPr>
        <w:t>Tabela</w:t>
      </w:r>
      <w:r w:rsidR="00A75016" w:rsidRPr="00CB2D8C">
        <w:rPr>
          <w:rFonts w:ascii="Times New Roman" w:hAnsi="Times New Roman" w:cs="Times New Roman"/>
          <w:sz w:val="24"/>
          <w:szCs w:val="24"/>
        </w:rPr>
        <w:t xml:space="preserve"> 1</w:t>
      </w:r>
      <w:r w:rsidRPr="00CB2D8C">
        <w:rPr>
          <w:rFonts w:ascii="Times New Roman" w:hAnsi="Times New Roman" w:cs="Times New Roman"/>
          <w:sz w:val="24"/>
          <w:szCs w:val="24"/>
        </w:rPr>
        <w:t xml:space="preserve">. </w:t>
      </w:r>
      <w:r w:rsidR="00FA4201" w:rsidRPr="00CB2D8C">
        <w:rPr>
          <w:rFonts w:ascii="Times New Roman" w:hAnsi="Times New Roman" w:cs="Times New Roman"/>
          <w:sz w:val="24"/>
          <w:szCs w:val="24"/>
        </w:rPr>
        <w:t>Cechy jakościowe informacji wpływające na</w:t>
      </w:r>
      <w:r w:rsidR="0078216C" w:rsidRPr="00CB2D8C">
        <w:rPr>
          <w:rFonts w:ascii="Times New Roman" w:hAnsi="Times New Roman" w:cs="Times New Roman"/>
          <w:sz w:val="24"/>
          <w:szCs w:val="24"/>
        </w:rPr>
        <w:t xml:space="preserve"> ich użyteczność dla inwestorów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5"/>
        <w:gridCol w:w="3482"/>
        <w:gridCol w:w="3963"/>
      </w:tblGrid>
      <w:tr w:rsidR="00FA4201" w:rsidRPr="00811D98" w14:paraId="179A4435" w14:textId="77777777" w:rsidTr="005D6B03">
        <w:tc>
          <w:tcPr>
            <w:tcW w:w="1615" w:type="dxa"/>
            <w:shd w:val="clear" w:color="auto" w:fill="D9D9D9" w:themeFill="background1" w:themeFillShade="D9"/>
          </w:tcPr>
          <w:p w14:paraId="74EA9666" w14:textId="77777777" w:rsidR="00FA4201" w:rsidRPr="00811D98" w:rsidRDefault="00FA4201" w:rsidP="009860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shd w:val="clear" w:color="auto" w:fill="D9D9D9" w:themeFill="background1" w:themeFillShade="D9"/>
          </w:tcPr>
          <w:p w14:paraId="6698BBF1" w14:textId="77777777" w:rsidR="00FA4201" w:rsidRPr="00CB2D8C" w:rsidRDefault="002D483F" w:rsidP="009860B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>Zalecenie</w:t>
            </w:r>
            <w:r w:rsidR="00FA4201"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A4201"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>MSR według założeń koncepcyjnych MSSF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0C6EF42E" w14:textId="77777777" w:rsidR="00FA4201" w:rsidRPr="00CB2D8C" w:rsidRDefault="002D483F" w:rsidP="00A7501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Zalecenia </w:t>
            </w:r>
            <w:r w:rsidR="00B926D0"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>KRF według wytycznych dla raportu strategicznego</w:t>
            </w:r>
            <w:r w:rsidR="009E10B4"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A4201" w:rsidRPr="00811D98" w14:paraId="41663976" w14:textId="77777777" w:rsidTr="005D6B03">
        <w:tc>
          <w:tcPr>
            <w:tcW w:w="1615" w:type="dxa"/>
          </w:tcPr>
          <w:p w14:paraId="14376146" w14:textId="77777777" w:rsidR="00FA4201" w:rsidRPr="00811D98" w:rsidRDefault="00FA4201" w:rsidP="009860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Nadrzędne cechy jakościowe</w:t>
            </w:r>
          </w:p>
        </w:tc>
        <w:tc>
          <w:tcPr>
            <w:tcW w:w="3482" w:type="dxa"/>
          </w:tcPr>
          <w:p w14:paraId="2B9B80DD" w14:textId="77777777" w:rsidR="00FA4201" w:rsidRPr="00811D98" w:rsidRDefault="00FA4201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Przydatność (</w:t>
            </w:r>
            <w:r w:rsidRPr="00DB2CC7">
              <w:rPr>
                <w:rFonts w:ascii="Times New Roman" w:hAnsi="Times New Roman" w:cs="Times New Roman"/>
                <w:i/>
                <w:sz w:val="20"/>
                <w:szCs w:val="20"/>
              </w:rPr>
              <w:t>Relevance</w:t>
            </w: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D6B0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7AB6E3D" w14:textId="77777777" w:rsidR="00FA4201" w:rsidRPr="00811D98" w:rsidRDefault="00FA4201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Istotność (</w:t>
            </w:r>
            <w:r w:rsidRPr="00DB2CC7">
              <w:rPr>
                <w:rFonts w:ascii="Times New Roman" w:hAnsi="Times New Roman" w:cs="Times New Roman"/>
                <w:i/>
                <w:sz w:val="20"/>
                <w:szCs w:val="20"/>
              </w:rPr>
              <w:t>Materiality</w:t>
            </w: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B0C65E" w14:textId="77777777" w:rsidR="00FA4201" w:rsidRPr="00811D98" w:rsidRDefault="00FA4201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Wierna reprezentacja (</w:t>
            </w:r>
            <w:r w:rsidRPr="00DB2CC7">
              <w:rPr>
                <w:rFonts w:ascii="Times New Roman" w:hAnsi="Times New Roman" w:cs="Times New Roman"/>
                <w:i/>
                <w:sz w:val="20"/>
                <w:szCs w:val="20"/>
              </w:rPr>
              <w:t>Faithful representation</w:t>
            </w: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3" w:type="dxa"/>
          </w:tcPr>
          <w:p w14:paraId="56B6E46E" w14:textId="77777777" w:rsidR="00FA4201" w:rsidRPr="00811D98" w:rsidRDefault="00FA4201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Istotność </w:t>
            </w:r>
            <w:r w:rsidR="00811D98" w:rsidRPr="00811D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2CC7">
              <w:rPr>
                <w:rFonts w:ascii="Times New Roman" w:hAnsi="Times New Roman" w:cs="Times New Roman"/>
                <w:i/>
                <w:sz w:val="20"/>
                <w:szCs w:val="20"/>
              </w:rPr>
              <w:t>Materiality</w:t>
            </w:r>
            <w:r w:rsidR="00811D98" w:rsidRPr="00811D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A4201" w:rsidRPr="00811D98" w14:paraId="23ACD736" w14:textId="77777777" w:rsidTr="005D6B03">
        <w:tc>
          <w:tcPr>
            <w:tcW w:w="1615" w:type="dxa"/>
          </w:tcPr>
          <w:p w14:paraId="09B7341E" w14:textId="77777777" w:rsidR="00FA4201" w:rsidRPr="00811D98" w:rsidRDefault="00FA4201" w:rsidP="009860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Wzbogacające cechy jakościowe</w:t>
            </w:r>
          </w:p>
        </w:tc>
        <w:tc>
          <w:tcPr>
            <w:tcW w:w="3482" w:type="dxa"/>
          </w:tcPr>
          <w:p w14:paraId="54572AFB" w14:textId="77777777" w:rsidR="00FA4201" w:rsidRPr="00811D98" w:rsidRDefault="00FA4201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Porównywalność </w:t>
            </w:r>
            <w:r w:rsidR="00811D98" w:rsidRPr="00811D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11D98">
              <w:rPr>
                <w:rFonts w:ascii="Times New Roman" w:hAnsi="Times New Roman" w:cs="Times New Roman"/>
                <w:i/>
                <w:sz w:val="20"/>
                <w:szCs w:val="20"/>
              </w:rPr>
              <w:t>Comparability</w:t>
            </w:r>
            <w:r w:rsidR="00811D98" w:rsidRPr="00811D9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2F18AEFC" w14:textId="77777777" w:rsidR="00FA4201" w:rsidRPr="00811D98" w:rsidRDefault="00FA4201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Sprawdzalność </w:t>
            </w:r>
            <w:r w:rsidR="00DB2C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75016">
              <w:rPr>
                <w:rFonts w:ascii="Times New Roman" w:hAnsi="Times New Roman" w:cs="Times New Roman"/>
                <w:i/>
                <w:sz w:val="20"/>
                <w:szCs w:val="20"/>
              </w:rPr>
              <w:t>Verifiability</w:t>
            </w:r>
            <w:r w:rsidR="00DB2CC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0FDBE2E" w14:textId="77777777" w:rsidR="00FA4201" w:rsidRPr="00811D98" w:rsidRDefault="00FA4201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Terminowość </w:t>
            </w:r>
            <w:r w:rsidR="00CB2D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75016">
              <w:rPr>
                <w:rFonts w:ascii="Times New Roman" w:hAnsi="Times New Roman" w:cs="Times New Roman"/>
                <w:i/>
                <w:sz w:val="20"/>
                <w:szCs w:val="20"/>
              </w:rPr>
              <w:t>Timeliness</w:t>
            </w:r>
            <w:r w:rsidR="00CB2D8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0175D33D" w14:textId="77777777" w:rsidR="00FA4201" w:rsidRPr="00811D98" w:rsidRDefault="00FA4201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Zrozumiałość </w:t>
            </w:r>
            <w:r w:rsidRPr="00A75016">
              <w:rPr>
                <w:rFonts w:ascii="Times New Roman" w:hAnsi="Times New Roman" w:cs="Times New Roman"/>
                <w:i/>
                <w:sz w:val="20"/>
                <w:szCs w:val="20"/>
              </w:rPr>
              <w:t>Understandabiliity</w:t>
            </w:r>
          </w:p>
        </w:tc>
        <w:tc>
          <w:tcPr>
            <w:tcW w:w="3963" w:type="dxa"/>
          </w:tcPr>
          <w:p w14:paraId="20358D8D" w14:textId="77777777" w:rsidR="00811D98" w:rsidRPr="00811D98" w:rsidRDefault="00811D98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Rzetelność (</w:t>
            </w:r>
            <w:r w:rsidRPr="00811D98">
              <w:rPr>
                <w:rFonts w:ascii="Times New Roman" w:hAnsi="Times New Roman" w:cs="Times New Roman"/>
                <w:i/>
                <w:sz w:val="20"/>
                <w:szCs w:val="20"/>
              </w:rPr>
              <w:t>Fair</w:t>
            </w: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  <w:p w14:paraId="41840B27" w14:textId="77777777" w:rsidR="00811D98" w:rsidRPr="00811D98" w:rsidRDefault="0078216C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11D98" w:rsidRPr="00811D98">
              <w:rPr>
                <w:rFonts w:ascii="Times New Roman" w:hAnsi="Times New Roman" w:cs="Times New Roman"/>
                <w:sz w:val="20"/>
                <w:szCs w:val="20"/>
              </w:rPr>
              <w:t>równoważenie (</w:t>
            </w:r>
            <w:r w:rsidR="00CB2D8C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 w:rsidR="00811D98" w:rsidRPr="00811D98">
              <w:rPr>
                <w:rFonts w:ascii="Times New Roman" w:hAnsi="Times New Roman" w:cs="Times New Roman"/>
                <w:i/>
                <w:sz w:val="20"/>
                <w:szCs w:val="20"/>
              </w:rPr>
              <w:t>alanced</w:t>
            </w:r>
            <w:r w:rsidR="00811D98"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  <w:p w14:paraId="01ACAD9A" w14:textId="77777777" w:rsidR="00811D98" w:rsidRPr="00811D98" w:rsidRDefault="0078216C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11D98" w:rsidRPr="00811D98">
              <w:rPr>
                <w:rFonts w:ascii="Times New Roman" w:hAnsi="Times New Roman" w:cs="Times New Roman"/>
                <w:sz w:val="20"/>
                <w:szCs w:val="20"/>
              </w:rPr>
              <w:t>rozumiałość (</w:t>
            </w:r>
            <w:r w:rsidR="005D6B03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="00811D98" w:rsidRPr="00811D98">
              <w:rPr>
                <w:rFonts w:ascii="Times New Roman" w:hAnsi="Times New Roman" w:cs="Times New Roman"/>
                <w:i/>
                <w:sz w:val="20"/>
                <w:szCs w:val="20"/>
              </w:rPr>
              <w:t>nderstandable</w:t>
            </w:r>
            <w:r w:rsidR="00811D98" w:rsidRPr="00811D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8CA13E" w14:textId="77777777" w:rsidR="00FA4201" w:rsidRPr="00811D98" w:rsidRDefault="0078216C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811D98" w:rsidRPr="00811D98">
              <w:rPr>
                <w:rFonts w:ascii="Times New Roman" w:hAnsi="Times New Roman" w:cs="Times New Roman"/>
                <w:sz w:val="20"/>
                <w:szCs w:val="20"/>
              </w:rPr>
              <w:t>ompleksow</w:t>
            </w:r>
            <w:r w:rsidR="00811D98">
              <w:rPr>
                <w:rFonts w:ascii="Times New Roman" w:hAnsi="Times New Roman" w:cs="Times New Roman"/>
                <w:sz w:val="20"/>
                <w:szCs w:val="20"/>
              </w:rPr>
              <w:t>ość i jednocześnie zwięzłość</w:t>
            </w:r>
            <w:r w:rsidR="00FA4201"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12BF7D" w14:textId="77777777" w:rsidR="00FA4201" w:rsidRPr="00811D98" w:rsidRDefault="00811D98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D6B03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="00FA4201" w:rsidRPr="00811D98">
              <w:rPr>
                <w:rFonts w:ascii="Times New Roman" w:hAnsi="Times New Roman" w:cs="Times New Roman"/>
                <w:i/>
                <w:sz w:val="20"/>
                <w:szCs w:val="20"/>
              </w:rPr>
              <w:t>omprehensive but concise</w:t>
            </w: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848E179" w14:textId="77777777" w:rsidR="00FA4201" w:rsidRPr="00811D98" w:rsidRDefault="00811D98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Orientacja na przyszłość (</w:t>
            </w:r>
            <w:r w:rsidR="00FA4201" w:rsidRPr="00811D98">
              <w:rPr>
                <w:rFonts w:ascii="Times New Roman" w:hAnsi="Times New Roman" w:cs="Times New Roman"/>
                <w:i/>
                <w:sz w:val="20"/>
                <w:szCs w:val="20"/>
              </w:rPr>
              <w:t>Forward looking</w:t>
            </w: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5EFEA83C" w14:textId="77777777" w:rsidR="00FA4201" w:rsidRPr="00811D98" w:rsidRDefault="00811D98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Dostosowan</w:t>
            </w:r>
            <w:r w:rsidR="0078216C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 w:rsidRPr="00811D98">
              <w:rPr>
                <w:rFonts w:ascii="Times New Roman" w:hAnsi="Times New Roman" w:cs="Times New Roman"/>
                <w:sz w:val="20"/>
                <w:szCs w:val="20"/>
              </w:rPr>
              <w:t>do jednostki (</w:t>
            </w:r>
            <w:r w:rsidR="00FA4201" w:rsidRPr="00811D98">
              <w:rPr>
                <w:rFonts w:ascii="Times New Roman" w:hAnsi="Times New Roman" w:cs="Times New Roman"/>
                <w:i/>
                <w:sz w:val="20"/>
                <w:szCs w:val="20"/>
              </w:rPr>
              <w:t>Entity specific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A88F85C" w14:textId="77777777" w:rsidR="00FA4201" w:rsidRPr="00811D98" w:rsidRDefault="00A75016" w:rsidP="00A7501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Objaśnienie połączenia informacji (</w:t>
            </w:r>
            <w:r w:rsidR="00FA4201" w:rsidRPr="00A7501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Explain linkages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38C8FAC6" w14:textId="77777777" w:rsidR="005D6B03" w:rsidRPr="00811D98" w:rsidRDefault="005D6B03" w:rsidP="005D6B0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* W nawiasach podane zostały </w:t>
      </w:r>
    </w:p>
    <w:p w14:paraId="114954B3" w14:textId="77777777" w:rsidR="005D6B03" w:rsidRDefault="005D6B03" w:rsidP="00FA42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543178A" w14:textId="77777777" w:rsidR="00811D98" w:rsidRPr="00811D98" w:rsidRDefault="00811D98" w:rsidP="00FA420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Opracowanie własne na podstawie:</w:t>
      </w:r>
      <w:r w:rsidR="0078216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8216C"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FRC </w:t>
      </w:r>
      <w:r w:rsidR="0078216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78216C" w:rsidRPr="00970EB0">
        <w:rPr>
          <w:rFonts w:ascii="Times New Roman" w:hAnsi="Times New Roman" w:cs="Times New Roman"/>
          <w:sz w:val="20"/>
          <w:szCs w:val="20"/>
          <w:lang w:val="en-US"/>
        </w:rPr>
        <w:t>2014</w:t>
      </w:r>
      <w:r w:rsidR="0078216C">
        <w:rPr>
          <w:rFonts w:ascii="Times New Roman" w:hAnsi="Times New Roman" w:cs="Times New Roman"/>
          <w:sz w:val="20"/>
          <w:szCs w:val="20"/>
          <w:lang w:val="en-US"/>
        </w:rPr>
        <w:t>), RMSR (2011)</w:t>
      </w:r>
    </w:p>
    <w:p w14:paraId="39EAF208" w14:textId="77777777" w:rsidR="00FA4201" w:rsidRPr="009E7131" w:rsidRDefault="00FA4201" w:rsidP="004657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Jedną z najważniejszych cech jakościowych informacji zawartych w raporcie rocznym</w:t>
      </w:r>
      <w:r w:rsidRPr="009E7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9E7131">
        <w:rPr>
          <w:rFonts w:ascii="Times New Roman" w:hAnsi="Times New Roman" w:cs="Times New Roman"/>
          <w:sz w:val="24"/>
          <w:szCs w:val="24"/>
        </w:rPr>
        <w:t xml:space="preserve">według </w:t>
      </w:r>
      <w:r w:rsidR="008A6EFB">
        <w:rPr>
          <w:rFonts w:ascii="Times New Roman" w:hAnsi="Times New Roman" w:cs="Times New Roman"/>
          <w:sz w:val="24"/>
          <w:szCs w:val="24"/>
        </w:rPr>
        <w:t>KRF</w:t>
      </w:r>
      <w:r w:rsidR="005D6B03">
        <w:rPr>
          <w:rFonts w:ascii="Times New Roman" w:hAnsi="Times New Roman" w:cs="Times New Roman"/>
          <w:sz w:val="24"/>
          <w:szCs w:val="24"/>
        </w:rPr>
        <w:t xml:space="preserve"> i RMSR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016">
        <w:rPr>
          <w:rFonts w:ascii="Times New Roman" w:hAnsi="Times New Roman" w:cs="Times New Roman"/>
          <w:b/>
          <w:i/>
          <w:sz w:val="24"/>
          <w:szCs w:val="24"/>
        </w:rPr>
        <w:t>istotność</w:t>
      </w:r>
      <w:r w:rsidRPr="009E7131">
        <w:rPr>
          <w:rFonts w:ascii="Times New Roman" w:hAnsi="Times New Roman" w:cs="Times New Roman"/>
          <w:sz w:val="24"/>
          <w:szCs w:val="24"/>
        </w:rPr>
        <w:t xml:space="preserve"> (ang. </w:t>
      </w:r>
      <w:r w:rsidRPr="00E83FA0">
        <w:rPr>
          <w:rFonts w:ascii="Times New Roman" w:hAnsi="Times New Roman" w:cs="Times New Roman"/>
          <w:i/>
          <w:sz w:val="24"/>
          <w:szCs w:val="24"/>
        </w:rPr>
        <w:t>materiality</w:t>
      </w:r>
      <w:r w:rsidRPr="009E71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5016">
        <w:rPr>
          <w:rFonts w:ascii="Times New Roman" w:hAnsi="Times New Roman" w:cs="Times New Roman"/>
          <w:sz w:val="24"/>
          <w:szCs w:val="24"/>
        </w:rPr>
        <w:t>Jest 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131">
        <w:rPr>
          <w:rFonts w:ascii="Times New Roman" w:hAnsi="Times New Roman" w:cs="Times New Roman"/>
          <w:sz w:val="24"/>
          <w:szCs w:val="24"/>
        </w:rPr>
        <w:t xml:space="preserve">uzależniony od rodzaju i siły wpływu </w:t>
      </w:r>
      <w:r>
        <w:rPr>
          <w:rFonts w:ascii="Times New Roman" w:hAnsi="Times New Roman" w:cs="Times New Roman"/>
          <w:sz w:val="24"/>
          <w:szCs w:val="24"/>
        </w:rPr>
        <w:t xml:space="preserve"> danego czynnika </w:t>
      </w:r>
      <w:r w:rsidRPr="009E7131">
        <w:rPr>
          <w:rFonts w:ascii="Times New Roman" w:hAnsi="Times New Roman" w:cs="Times New Roman"/>
          <w:sz w:val="24"/>
          <w:szCs w:val="24"/>
        </w:rPr>
        <w:t xml:space="preserve">na rzeczywisty lub potencjalny </w:t>
      </w:r>
      <w:r>
        <w:rPr>
          <w:rFonts w:ascii="Times New Roman" w:hAnsi="Times New Roman" w:cs="Times New Roman"/>
          <w:sz w:val="24"/>
          <w:szCs w:val="24"/>
        </w:rPr>
        <w:t xml:space="preserve">wynik </w:t>
      </w:r>
      <w:r w:rsidRPr="009E7131">
        <w:rPr>
          <w:rFonts w:ascii="Times New Roman" w:hAnsi="Times New Roman" w:cs="Times New Roman"/>
          <w:sz w:val="24"/>
          <w:szCs w:val="24"/>
        </w:rPr>
        <w:t xml:space="preserve">jednostki. Stwierdzenie </w:t>
      </w:r>
      <w:r w:rsidR="005D6B03">
        <w:rPr>
          <w:rFonts w:ascii="Times New Roman" w:hAnsi="Times New Roman" w:cs="Times New Roman"/>
          <w:sz w:val="24"/>
          <w:szCs w:val="24"/>
        </w:rPr>
        <w:t>istotności</w:t>
      </w:r>
      <w:r w:rsidRPr="009E7131">
        <w:rPr>
          <w:rFonts w:ascii="Times New Roman" w:hAnsi="Times New Roman" w:cs="Times New Roman"/>
          <w:sz w:val="24"/>
          <w:szCs w:val="24"/>
        </w:rPr>
        <w:t xml:space="preserve"> informacji wymaga profesjonalnego osądu relatywnej siły oddziaływania czynnika (lub zdarzenia) na rozwój jednostki, jej wyniki lub perspektywy jednostki. Czynniki niefinansowe mogą mieć większy wpływ w przypadku raportu strategicznego niż w przypadku sprawozdań finansowych. Ze względu na cechę ważności w raporcie strategicznym nie powinny być ujmowane wszystkie mierniki stosowane w danej jednostce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7131">
        <w:rPr>
          <w:rFonts w:ascii="Times New Roman" w:hAnsi="Times New Roman" w:cs="Times New Roman"/>
          <w:sz w:val="24"/>
          <w:szCs w:val="24"/>
        </w:rPr>
        <w:t xml:space="preserve"> ani wszystkie ryzyka które potencjalnie mogą na nią wpłynąć. Zasada </w:t>
      </w:r>
      <w:r w:rsidR="00A75016">
        <w:rPr>
          <w:rFonts w:ascii="Times New Roman" w:hAnsi="Times New Roman" w:cs="Times New Roman"/>
          <w:sz w:val="24"/>
          <w:szCs w:val="24"/>
        </w:rPr>
        <w:t>istotności</w:t>
      </w:r>
      <w:r w:rsidRPr="009E7131">
        <w:rPr>
          <w:rFonts w:ascii="Times New Roman" w:hAnsi="Times New Roman" w:cs="Times New Roman"/>
          <w:sz w:val="24"/>
          <w:szCs w:val="24"/>
        </w:rPr>
        <w:t xml:space="preserve"> nie może przy tym być wykorzystywana do pominięcia informacji wymaganych przez prawo </w:t>
      </w:r>
      <w:r>
        <w:rPr>
          <w:rFonts w:ascii="Times New Roman" w:hAnsi="Times New Roman" w:cs="Times New Roman"/>
          <w:sz w:val="24"/>
          <w:szCs w:val="24"/>
        </w:rPr>
        <w:t>lub kodeks ładu korporacyjnego,</w:t>
      </w:r>
      <w:r w:rsidRPr="009E7131">
        <w:rPr>
          <w:rFonts w:ascii="Times New Roman" w:hAnsi="Times New Roman" w:cs="Times New Roman"/>
          <w:sz w:val="24"/>
          <w:szCs w:val="24"/>
        </w:rPr>
        <w:t xml:space="preserve"> w tym informacji o strategii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7131">
        <w:rPr>
          <w:rFonts w:ascii="Times New Roman" w:hAnsi="Times New Roman" w:cs="Times New Roman"/>
          <w:sz w:val="24"/>
          <w:szCs w:val="24"/>
        </w:rPr>
        <w:t xml:space="preserve"> modelu biznes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7131">
        <w:rPr>
          <w:rFonts w:ascii="Times New Roman" w:hAnsi="Times New Roman" w:cs="Times New Roman"/>
          <w:sz w:val="24"/>
          <w:szCs w:val="24"/>
        </w:rPr>
        <w:t xml:space="preserve"> i o strukturze pracowników według płci. </w:t>
      </w:r>
    </w:p>
    <w:p w14:paraId="05540223" w14:textId="77777777" w:rsidR="00FA4201" w:rsidRDefault="00FA4201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 przypadku inwestorów instytucjonalnych do ce</w:t>
      </w:r>
      <w:r w:rsidR="00E83FA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 w:rsidR="005D6B03">
        <w:rPr>
          <w:rFonts w:ascii="Times New Roman" w:hAnsi="Times New Roman" w:cs="Times New Roman"/>
          <w:sz w:val="24"/>
          <w:szCs w:val="24"/>
        </w:rPr>
        <w:t>wskazanych</w:t>
      </w:r>
      <w:r>
        <w:rPr>
          <w:rFonts w:ascii="Times New Roman" w:hAnsi="Times New Roman" w:cs="Times New Roman"/>
          <w:sz w:val="24"/>
          <w:szCs w:val="24"/>
        </w:rPr>
        <w:t xml:space="preserve"> w wyżej wymienionych dokumentach należ</w:t>
      </w:r>
      <w:r w:rsidR="005D6B0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szczególną uwagę z</w:t>
      </w:r>
      <w:r w:rsidR="008A6EFB">
        <w:rPr>
          <w:rFonts w:ascii="Times New Roman" w:hAnsi="Times New Roman" w:cs="Times New Roman"/>
          <w:sz w:val="24"/>
          <w:szCs w:val="24"/>
        </w:rPr>
        <w:t>wrócić na</w:t>
      </w:r>
      <w:r w:rsidR="00E83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porównywalność</w:t>
      </w:r>
      <w:r w:rsidR="00E83FA0">
        <w:rPr>
          <w:rFonts w:ascii="Times New Roman" w:hAnsi="Times New Roman" w:cs="Times New Roman"/>
          <w:sz w:val="24"/>
          <w:szCs w:val="24"/>
        </w:rPr>
        <w:t xml:space="preserve"> informacji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3FA0">
        <w:rPr>
          <w:rFonts w:ascii="Times New Roman" w:hAnsi="Times New Roman" w:cs="Times New Roman"/>
          <w:sz w:val="24"/>
          <w:szCs w:val="24"/>
        </w:rPr>
        <w:t xml:space="preserve"> czas i koszt pozyskania informacji oraz </w:t>
      </w:r>
      <w:r>
        <w:rPr>
          <w:rFonts w:ascii="Times New Roman" w:hAnsi="Times New Roman" w:cs="Times New Roman"/>
          <w:sz w:val="24"/>
          <w:szCs w:val="24"/>
        </w:rPr>
        <w:t>możliwość wykorzystania informacji zgodnie ze strate</w:t>
      </w:r>
      <w:r w:rsidR="00E83FA0">
        <w:rPr>
          <w:rFonts w:ascii="Times New Roman" w:hAnsi="Times New Roman" w:cs="Times New Roman"/>
          <w:sz w:val="24"/>
          <w:szCs w:val="24"/>
        </w:rPr>
        <w:t>gią i politykami inwestycyjnymi</w:t>
      </w:r>
      <w:r w:rsidR="005D6B03">
        <w:rPr>
          <w:rFonts w:ascii="Times New Roman" w:hAnsi="Times New Roman" w:cs="Times New Roman"/>
          <w:sz w:val="24"/>
          <w:szCs w:val="24"/>
        </w:rPr>
        <w:t xml:space="preserve"> danego inwestora</w:t>
      </w:r>
      <w:r w:rsidR="00E83FA0">
        <w:rPr>
          <w:rFonts w:ascii="Times New Roman" w:hAnsi="Times New Roman" w:cs="Times New Roman"/>
          <w:sz w:val="24"/>
          <w:szCs w:val="24"/>
        </w:rPr>
        <w:t>. Z tej przyczyny inwestorzy posługują się często informacjami wtórnymi (z serwisów informacyjnych) oraz informacjami zagregowanymi w postaci mierników dokonań.</w:t>
      </w:r>
    </w:p>
    <w:p w14:paraId="02E2BB68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Mierniki dokonań pozwalają na liczbowe przedstawienie procesów i zjawisk zachodzących w przedsiębiorstwie, ułatwiają ich prezentację i analizę. Mierniki stanowią klasyczne narzędzia</w:t>
      </w:r>
      <w:r w:rsidR="00EE11B5">
        <w:rPr>
          <w:rFonts w:ascii="Times New Roman" w:hAnsi="Times New Roman" w:cs="Times New Roman"/>
          <w:sz w:val="24"/>
          <w:szCs w:val="24"/>
        </w:rPr>
        <w:t>, analityków finansowych pracujących na rzecz inwestorów instytucjonalnych</w:t>
      </w:r>
      <w:r w:rsidR="009E10B4" w:rsidRPr="009E10B4">
        <w:rPr>
          <w:rFonts w:ascii="Times New Roman" w:hAnsi="Times New Roman" w:cs="Times New Roman"/>
          <w:sz w:val="24"/>
          <w:szCs w:val="24"/>
        </w:rPr>
        <w:t xml:space="preserve"> </w:t>
      </w:r>
      <w:r w:rsidR="009E10B4">
        <w:rPr>
          <w:rFonts w:ascii="Times New Roman" w:hAnsi="Times New Roman" w:cs="Times New Roman"/>
          <w:sz w:val="24"/>
          <w:szCs w:val="24"/>
        </w:rPr>
        <w:t xml:space="preserve">oraz </w:t>
      </w:r>
      <w:r w:rsidR="009E10B4" w:rsidRPr="00077EA3">
        <w:rPr>
          <w:rFonts w:ascii="Times New Roman" w:hAnsi="Times New Roman" w:cs="Times New Roman"/>
          <w:sz w:val="24"/>
          <w:szCs w:val="24"/>
        </w:rPr>
        <w:t>specjalistów rachunkowości zarządczej (contro</w:t>
      </w:r>
      <w:r w:rsidR="009E10B4">
        <w:rPr>
          <w:rFonts w:ascii="Times New Roman" w:hAnsi="Times New Roman" w:cs="Times New Roman"/>
          <w:sz w:val="24"/>
          <w:szCs w:val="24"/>
        </w:rPr>
        <w:t>llerów)</w:t>
      </w:r>
      <w:r w:rsidR="00EE11B5">
        <w:rPr>
          <w:rFonts w:ascii="Times New Roman" w:hAnsi="Times New Roman" w:cs="Times New Roman"/>
          <w:sz w:val="24"/>
          <w:szCs w:val="24"/>
        </w:rPr>
        <w:t>,</w:t>
      </w:r>
      <w:r w:rsidRPr="00077EA3">
        <w:rPr>
          <w:rFonts w:ascii="Times New Roman" w:hAnsi="Times New Roman" w:cs="Times New Roman"/>
          <w:sz w:val="24"/>
          <w:szCs w:val="24"/>
        </w:rPr>
        <w:t xml:space="preserve"> ponieważ dzięki nim możliwe jest dostarczanie zagregowanych i łatwych do oceny informacji dla menedżerów i inwestorów. </w:t>
      </w:r>
    </w:p>
    <w:p w14:paraId="4F3C2B38" w14:textId="77777777" w:rsidR="00EE11B5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Najczęściej stosowanym w literaturze przedmiotu i w praktyce podziałem mierników dokonań jest rozróżnienie na mi</w:t>
      </w:r>
      <w:r w:rsidR="00EE11B5">
        <w:rPr>
          <w:rFonts w:ascii="Times New Roman" w:hAnsi="Times New Roman" w:cs="Times New Roman"/>
          <w:sz w:val="24"/>
          <w:szCs w:val="24"/>
        </w:rPr>
        <w:t>erniki finansowe i niefinansowe</w:t>
      </w:r>
      <w:r w:rsidRPr="00077EA3">
        <w:rPr>
          <w:rFonts w:ascii="Times New Roman" w:hAnsi="Times New Roman" w:cs="Times New Roman"/>
          <w:sz w:val="24"/>
          <w:szCs w:val="24"/>
        </w:rPr>
        <w:t>.  Zastosowanie mierników finansowych, czyli takich wyrażonych w jednostkach pieniężnych lub w procentach (powstałych przez podzielenie dwóch wartości wyrażonych pieniężnych) posiada zalet</w:t>
      </w:r>
      <w:r w:rsidR="00EE11B5">
        <w:rPr>
          <w:rFonts w:ascii="Times New Roman" w:hAnsi="Times New Roman" w:cs="Times New Roman"/>
          <w:sz w:val="24"/>
          <w:szCs w:val="24"/>
        </w:rPr>
        <w:t>y, takie jak</w:t>
      </w:r>
      <w:r w:rsidRPr="00077EA3">
        <w:rPr>
          <w:rFonts w:ascii="Times New Roman" w:hAnsi="Times New Roman" w:cs="Times New Roman"/>
          <w:sz w:val="24"/>
          <w:szCs w:val="24"/>
        </w:rPr>
        <w:t xml:space="preserve"> zachęcanie menedżerów do poszukiwania nowych sposobów realizacji istniejących procesów w celu poprawy wyników finansowych</w:t>
      </w:r>
      <w:r w:rsidR="00EE11B5">
        <w:rPr>
          <w:rFonts w:ascii="Times New Roman" w:hAnsi="Times New Roman" w:cs="Times New Roman"/>
          <w:sz w:val="24"/>
          <w:szCs w:val="24"/>
        </w:rPr>
        <w:t xml:space="preserve"> i zwiększenie bogactwa akcjonariuszy</w:t>
      </w:r>
      <w:r w:rsidRPr="00077EA3">
        <w:rPr>
          <w:rFonts w:ascii="Times New Roman" w:hAnsi="Times New Roman" w:cs="Times New Roman"/>
          <w:sz w:val="24"/>
          <w:szCs w:val="24"/>
        </w:rPr>
        <w:t xml:space="preserve">. Do wad </w:t>
      </w:r>
      <w:r w:rsidR="00EE11B5">
        <w:rPr>
          <w:rFonts w:ascii="Times New Roman" w:hAnsi="Times New Roman" w:cs="Times New Roman"/>
          <w:sz w:val="24"/>
          <w:szCs w:val="24"/>
        </w:rPr>
        <w:t xml:space="preserve">mierników </w:t>
      </w:r>
      <w:r w:rsidRPr="00077EA3">
        <w:rPr>
          <w:rFonts w:ascii="Times New Roman" w:hAnsi="Times New Roman" w:cs="Times New Roman"/>
          <w:sz w:val="24"/>
          <w:szCs w:val="24"/>
        </w:rPr>
        <w:t>należy bardzo mocna orientacja na wynikach krótkookresowych i redukcja analizy funkcjonowania przedsiębi</w:t>
      </w:r>
      <w:r w:rsidR="00EE11B5">
        <w:rPr>
          <w:rFonts w:ascii="Times New Roman" w:hAnsi="Times New Roman" w:cs="Times New Roman"/>
          <w:sz w:val="24"/>
          <w:szCs w:val="24"/>
        </w:rPr>
        <w:t xml:space="preserve">orstwa do aspektów finansowych. </w:t>
      </w:r>
    </w:p>
    <w:p w14:paraId="5252E427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Mierniki niefinansowe to takie, które są wyrażone w jednostkach naturalnych np. sztukach, tonach lub zostały opracowane na podstawie opinii (np. wskaźnik satysfakcji klientów). </w:t>
      </w:r>
      <w:r w:rsidRPr="00077EA3">
        <w:rPr>
          <w:rFonts w:ascii="Times New Roman" w:hAnsi="Times New Roman" w:cs="Times New Roman"/>
          <w:sz w:val="24"/>
          <w:szCs w:val="24"/>
        </w:rPr>
        <w:lastRenderedPageBreak/>
        <w:t>Wykorzystanie mierników niefinansowych pozwala przezwyciężać część słabości mierników finansowych. Ich zastosowanie umożliwia pełniejsze odwzorowanie modelu biznesu przedsiębiorstwa i włączenie do analizy czynników mających wpływ na sukces przedsiębiorstwa dopiero w dłuższym okresie. Nie są one jednak pozbawione wad. Do ich na</w:t>
      </w:r>
      <w:r w:rsidR="004D5A55">
        <w:rPr>
          <w:rFonts w:ascii="Times New Roman" w:hAnsi="Times New Roman" w:cs="Times New Roman"/>
          <w:sz w:val="24"/>
          <w:szCs w:val="24"/>
        </w:rPr>
        <w:t>jważniejszych ograniczeń należą</w:t>
      </w:r>
      <w:r w:rsidRPr="00077EA3">
        <w:rPr>
          <w:rFonts w:ascii="Times New Roman" w:hAnsi="Times New Roman" w:cs="Times New Roman"/>
          <w:sz w:val="24"/>
          <w:szCs w:val="24"/>
        </w:rPr>
        <w:t>: wyższe koszty zbierania danych, większa subiektywność i wynikająca z niej mniejsza wiarygodność i klarowność .</w:t>
      </w:r>
    </w:p>
    <w:p w14:paraId="510790B9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Inną klasyfikacją mierników, zaproponowan</w:t>
      </w:r>
      <w:r w:rsidR="00EE11B5">
        <w:rPr>
          <w:rFonts w:ascii="Times New Roman" w:hAnsi="Times New Roman" w:cs="Times New Roman"/>
          <w:sz w:val="24"/>
          <w:szCs w:val="24"/>
        </w:rPr>
        <w:t>ą przez R. Kaplana i D. Nortona</w:t>
      </w:r>
      <w:r w:rsidR="0078216C">
        <w:rPr>
          <w:rFonts w:ascii="Times New Roman" w:hAnsi="Times New Roman" w:cs="Times New Roman"/>
          <w:sz w:val="24"/>
          <w:szCs w:val="24"/>
        </w:rPr>
        <w:t xml:space="preserve"> (2011)</w:t>
      </w:r>
      <w:r w:rsidRPr="00077EA3">
        <w:rPr>
          <w:rFonts w:ascii="Times New Roman" w:hAnsi="Times New Roman" w:cs="Times New Roman"/>
          <w:sz w:val="24"/>
          <w:szCs w:val="24"/>
        </w:rPr>
        <w:t xml:space="preserve">, jest podział na mierniki wynikowe i mierniki wyprzedzające (przyszłego sukcesu). Te pierwsze charakteryzują sytuację przedsiębiorstwa w danym momencie. Należy do nich między innymi większość wskaźników finansowych, takich jak: wartość przepływów pieniężnych, wartość przedsiębiorstwa, kurs akcji, wartość dla akcjonariuszy (ang. </w:t>
      </w:r>
      <w:r w:rsidRPr="008A6EFB">
        <w:rPr>
          <w:rFonts w:ascii="Times New Roman" w:hAnsi="Times New Roman" w:cs="Times New Roman"/>
          <w:i/>
          <w:sz w:val="24"/>
          <w:szCs w:val="24"/>
        </w:rPr>
        <w:t>shareholder value</w:t>
      </w:r>
      <w:r w:rsidRPr="00077EA3">
        <w:rPr>
          <w:rFonts w:ascii="Times New Roman" w:hAnsi="Times New Roman" w:cs="Times New Roman"/>
          <w:sz w:val="24"/>
          <w:szCs w:val="24"/>
        </w:rPr>
        <w:t>), ale również niefinansowe, takie jak: czas dostawy, jakość, wartość użytkowa produktu, cena. Wartość mierników wyprzedzających ma wpływ na sytuację przedsiębiorstwa w przyszłości. Wśród wskaźników przyszłego sukcesu R.S. Kaplan i D.P. Norton wyróżnili: zadowolenie i lojalność klientów, wskaźnik szybkości pozyskiwania nowych klientów, czas gotowości personelu, czas trwania cyklu produkcyjnego, wskaźnik odchyleń od standardów jakości, poprawa umiejętności personelu, liczba zgłaszanych innowacji.</w:t>
      </w:r>
    </w:p>
    <w:p w14:paraId="2A47D9E8" w14:textId="77777777" w:rsidR="002F5134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Wykorzystanie mierników finansowych i niefinansowych upowszechnia się również w sprawozdaniach finansowych (i</w:t>
      </w:r>
      <w:r w:rsidR="00EE11B5">
        <w:rPr>
          <w:rFonts w:ascii="Times New Roman" w:hAnsi="Times New Roman" w:cs="Times New Roman"/>
          <w:sz w:val="24"/>
          <w:szCs w:val="24"/>
        </w:rPr>
        <w:t xml:space="preserve"> szerzej w raportach rocznych) </w:t>
      </w:r>
      <w:r w:rsidRPr="00077EA3">
        <w:rPr>
          <w:rFonts w:ascii="Times New Roman" w:hAnsi="Times New Roman" w:cs="Times New Roman"/>
          <w:sz w:val="24"/>
          <w:szCs w:val="24"/>
        </w:rPr>
        <w:t>. Zgodne jest to z twierdzeniem I. Sobańskiej</w:t>
      </w:r>
      <w:r w:rsidR="008A6EFB">
        <w:rPr>
          <w:rFonts w:ascii="Times New Roman" w:hAnsi="Times New Roman" w:cs="Times New Roman"/>
          <w:sz w:val="24"/>
          <w:szCs w:val="24"/>
        </w:rPr>
        <w:t xml:space="preserve"> (2003)</w:t>
      </w:r>
      <w:r w:rsidRPr="00077EA3">
        <w:rPr>
          <w:rFonts w:ascii="Times New Roman" w:hAnsi="Times New Roman" w:cs="Times New Roman"/>
          <w:sz w:val="24"/>
          <w:szCs w:val="24"/>
        </w:rPr>
        <w:t xml:space="preserve"> o wzajemnym przenikaniu się informacji finansowych i zarządczych w sprawozdaniu finansowym (raporcie rocznym), co skutkuje rozszerzeniem jego zakresu przedmiotowego. </w:t>
      </w:r>
    </w:p>
    <w:p w14:paraId="217F64D0" w14:textId="77777777" w:rsidR="00EE11B5" w:rsidRDefault="00EE11B5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punktu widzenia inwestorów stosujących strategie odpowiedzialne społecznie wskazane jest uwzględnienie wskaźników niefinansowych i wyprzedzających, które pozwalają na zastosowanie strategii </w:t>
      </w:r>
      <w:r w:rsidR="000B365F">
        <w:rPr>
          <w:rFonts w:ascii="Times New Roman" w:hAnsi="Times New Roman" w:cs="Times New Roman"/>
          <w:sz w:val="24"/>
          <w:szCs w:val="24"/>
        </w:rPr>
        <w:t>przedstawionych w kolejnym punkcie artykułu.</w:t>
      </w:r>
    </w:p>
    <w:p w14:paraId="2F4B36A3" w14:textId="77777777" w:rsidR="00DF7BA3" w:rsidRDefault="00DF7BA3" w:rsidP="00FA4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BD218" w14:textId="77777777" w:rsidR="00DF7BA3" w:rsidRDefault="00CB2D8C" w:rsidP="00DF7B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F7BA3" w:rsidRPr="009E10B4">
        <w:rPr>
          <w:rFonts w:ascii="Times New Roman" w:hAnsi="Times New Roman" w:cs="Times New Roman"/>
          <w:b/>
          <w:sz w:val="24"/>
          <w:szCs w:val="24"/>
        </w:rPr>
        <w:t>.</w:t>
      </w:r>
      <w:r w:rsidR="00DF7BA3" w:rsidRPr="009E10B4">
        <w:rPr>
          <w:rFonts w:ascii="Times New Roman" w:hAnsi="Times New Roman" w:cs="Times New Roman"/>
          <w:b/>
          <w:sz w:val="24"/>
          <w:szCs w:val="24"/>
        </w:rPr>
        <w:tab/>
        <w:t xml:space="preserve">Strategie inwestowania </w:t>
      </w:r>
      <w:r w:rsidR="009E10B4">
        <w:rPr>
          <w:rFonts w:ascii="Times New Roman" w:hAnsi="Times New Roman" w:cs="Times New Roman"/>
          <w:b/>
          <w:sz w:val="24"/>
          <w:szCs w:val="24"/>
        </w:rPr>
        <w:t>społecznie odpowiedzialnego</w:t>
      </w:r>
    </w:p>
    <w:p w14:paraId="7037DC7A" w14:textId="77777777" w:rsidR="009E10B4" w:rsidRPr="009E10B4" w:rsidRDefault="009E10B4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Inwestowanie społeczne dopowiedziane (ang. </w:t>
      </w:r>
      <w:r w:rsidRPr="008A6EFB">
        <w:rPr>
          <w:rFonts w:ascii="Times New Roman" w:hAnsi="Times New Roman" w:cs="Times New Roman"/>
          <w:i/>
          <w:sz w:val="24"/>
          <w:szCs w:val="24"/>
        </w:rPr>
        <w:t>Socially Responsible Investing</w:t>
      </w:r>
      <w:r w:rsidRPr="00077EA3">
        <w:rPr>
          <w:rFonts w:ascii="Times New Roman" w:hAnsi="Times New Roman" w:cs="Times New Roman"/>
          <w:sz w:val="24"/>
          <w:szCs w:val="24"/>
        </w:rPr>
        <w:t xml:space="preserve">) powinno uwzględniać oprócz czynników ekonomicznych również kryteria społeczne, etyczne, religijne i ekologiczne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77EA3">
        <w:rPr>
          <w:rFonts w:ascii="Times New Roman" w:hAnsi="Times New Roman" w:cs="Times New Roman"/>
          <w:sz w:val="24"/>
          <w:szCs w:val="24"/>
        </w:rPr>
        <w:t>Dziawgo 2010, s. 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77EA3">
        <w:rPr>
          <w:rFonts w:ascii="Times New Roman" w:hAnsi="Times New Roman" w:cs="Times New Roman"/>
          <w:sz w:val="24"/>
          <w:szCs w:val="24"/>
        </w:rPr>
        <w:t xml:space="preserve">. Inwestowanie takie ma długą historię.  Już na początku XX wieku w </w:t>
      </w:r>
      <w:r w:rsidR="00500A08">
        <w:rPr>
          <w:rFonts w:ascii="Times New Roman" w:hAnsi="Times New Roman" w:cs="Times New Roman"/>
          <w:sz w:val="24"/>
          <w:szCs w:val="24"/>
        </w:rPr>
        <w:t>Wielkiej Brytanii</w:t>
      </w:r>
      <w:r w:rsidRPr="00077EA3">
        <w:rPr>
          <w:rFonts w:ascii="Times New Roman" w:hAnsi="Times New Roman" w:cs="Times New Roman"/>
          <w:sz w:val="24"/>
          <w:szCs w:val="24"/>
        </w:rPr>
        <w:t xml:space="preserve"> Kościół metodystów założył fundusz inwestycyjny, którego polityka zabraniała inwestowania w określone branże uznawane za grzeszne – powiązane z handlem bronią, al</w:t>
      </w:r>
      <w:r w:rsidR="00500A08">
        <w:rPr>
          <w:rFonts w:ascii="Times New Roman" w:hAnsi="Times New Roman" w:cs="Times New Roman"/>
          <w:sz w:val="24"/>
          <w:szCs w:val="24"/>
        </w:rPr>
        <w:t>koholem, przemysłem tytoniowym (</w:t>
      </w:r>
      <w:r w:rsidRPr="00077EA3">
        <w:rPr>
          <w:rFonts w:ascii="Times New Roman" w:hAnsi="Times New Roman" w:cs="Times New Roman"/>
          <w:sz w:val="24"/>
          <w:szCs w:val="24"/>
        </w:rPr>
        <w:t>Czerwonka, s. 18</w:t>
      </w:r>
      <w:r w:rsidR="00500A08">
        <w:rPr>
          <w:rFonts w:ascii="Times New Roman" w:hAnsi="Times New Roman" w:cs="Times New Roman"/>
          <w:sz w:val="24"/>
          <w:szCs w:val="24"/>
        </w:rPr>
        <w:t>).</w:t>
      </w:r>
    </w:p>
    <w:p w14:paraId="2A12149B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lastRenderedPageBreak/>
        <w:t xml:space="preserve">Tradycyjnie wyróżnia się dwa typy inwestowania społecznie odpowiedzialnego – selekcję negatywną i selekcję pozytywną </w:t>
      </w:r>
      <w:r w:rsidR="008A6EFB">
        <w:rPr>
          <w:rFonts w:ascii="Times New Roman" w:hAnsi="Times New Roman" w:cs="Times New Roman"/>
          <w:sz w:val="24"/>
          <w:szCs w:val="24"/>
        </w:rPr>
        <w:t>(</w:t>
      </w:r>
      <w:r w:rsidRPr="00077EA3">
        <w:rPr>
          <w:rFonts w:ascii="Times New Roman" w:hAnsi="Times New Roman" w:cs="Times New Roman"/>
          <w:sz w:val="24"/>
          <w:szCs w:val="24"/>
        </w:rPr>
        <w:t>Pogodzińska-Mizdrak 2010, s. 178</w:t>
      </w:r>
      <w:r w:rsidR="008A6EFB">
        <w:rPr>
          <w:rFonts w:ascii="Times New Roman" w:hAnsi="Times New Roman" w:cs="Times New Roman"/>
          <w:sz w:val="24"/>
          <w:szCs w:val="24"/>
        </w:rPr>
        <w:t>)</w:t>
      </w:r>
      <w:r w:rsidRPr="00077EA3">
        <w:rPr>
          <w:rFonts w:ascii="Times New Roman" w:hAnsi="Times New Roman" w:cs="Times New Roman"/>
          <w:sz w:val="24"/>
          <w:szCs w:val="24"/>
        </w:rPr>
        <w:t xml:space="preserve">. Selekcja negatywna  polega na rezygnacji z inwestowania w papiery wartościowe przedsiębiorstw mających </w:t>
      </w:r>
      <w:r w:rsidR="005D6B03">
        <w:rPr>
          <w:rFonts w:ascii="Times New Roman" w:hAnsi="Times New Roman" w:cs="Times New Roman"/>
          <w:sz w:val="24"/>
          <w:szCs w:val="24"/>
        </w:rPr>
        <w:t>niekorzystne</w:t>
      </w:r>
      <w:r w:rsidRPr="00077EA3">
        <w:rPr>
          <w:rFonts w:ascii="Times New Roman" w:hAnsi="Times New Roman" w:cs="Times New Roman"/>
          <w:sz w:val="24"/>
          <w:szCs w:val="24"/>
        </w:rPr>
        <w:t xml:space="preserve"> oddziaływanie na społeczeństwo. Selekcja pozytywna oznacza inwestowanie w spółki wyróżniające się działaniami </w:t>
      </w:r>
      <w:r w:rsidR="005D6B03">
        <w:rPr>
          <w:rFonts w:ascii="Times New Roman" w:hAnsi="Times New Roman" w:cs="Times New Roman"/>
          <w:sz w:val="24"/>
          <w:szCs w:val="24"/>
        </w:rPr>
        <w:t>korzystnie</w:t>
      </w:r>
      <w:r w:rsidRPr="00077EA3">
        <w:rPr>
          <w:rFonts w:ascii="Times New Roman" w:hAnsi="Times New Roman" w:cs="Times New Roman"/>
          <w:sz w:val="24"/>
          <w:szCs w:val="24"/>
        </w:rPr>
        <w:t xml:space="preserve"> oddziałującymi na społeczeństwo. </w:t>
      </w:r>
    </w:p>
    <w:p w14:paraId="12AD4186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Eurosif</w:t>
      </w:r>
      <w:r w:rsidR="005D6B0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077EA3">
        <w:rPr>
          <w:rFonts w:ascii="Times New Roman" w:hAnsi="Times New Roman" w:cs="Times New Roman"/>
          <w:sz w:val="24"/>
          <w:szCs w:val="24"/>
        </w:rPr>
        <w:t xml:space="preserve">  wyróżnia aż siedem strategii inwestowania odpowiedzialnego społecznie: inwestycje zorientowane tematycznie na zrównoważony rozwój, selekcja najlepszych w danej kategorii, selekcja na podstawie norm, negatywna selekcja, integracja czynników ESG, zaangażowanie i inwestowanie z pozytywnym wpływem (inwestowanie społeczne).</w:t>
      </w:r>
    </w:p>
    <w:p w14:paraId="1BB76289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A08">
        <w:rPr>
          <w:rFonts w:ascii="Times New Roman" w:hAnsi="Times New Roman" w:cs="Times New Roman"/>
          <w:b/>
          <w:i/>
          <w:sz w:val="24"/>
          <w:szCs w:val="24"/>
        </w:rPr>
        <w:t>Strategia inwestycji zorientowanych  tematycznie na zrównoważony rozwój</w:t>
      </w:r>
      <w:r w:rsidRPr="00077EA3">
        <w:rPr>
          <w:rFonts w:ascii="Times New Roman" w:hAnsi="Times New Roman" w:cs="Times New Roman"/>
          <w:sz w:val="24"/>
          <w:szCs w:val="24"/>
        </w:rPr>
        <w:t xml:space="preserve"> (ang. </w:t>
      </w:r>
      <w:r w:rsidRPr="009E10B4">
        <w:rPr>
          <w:rFonts w:ascii="Times New Roman" w:hAnsi="Times New Roman" w:cs="Times New Roman"/>
          <w:i/>
          <w:sz w:val="24"/>
          <w:szCs w:val="24"/>
        </w:rPr>
        <w:t>sustainability themed investment</w:t>
      </w:r>
      <w:r w:rsidRPr="00077EA3">
        <w:rPr>
          <w:rFonts w:ascii="Times New Roman" w:hAnsi="Times New Roman" w:cs="Times New Roman"/>
          <w:sz w:val="24"/>
          <w:szCs w:val="24"/>
        </w:rPr>
        <w:t xml:space="preserve">) polega na inwestowaniu w fundusze inwestycyjne skoncentrowane na realizacji celów zrównoważonego rozwoju, na przykład </w:t>
      </w:r>
      <w:r w:rsidR="00995162">
        <w:rPr>
          <w:rFonts w:ascii="Times New Roman" w:hAnsi="Times New Roman" w:cs="Times New Roman"/>
          <w:sz w:val="24"/>
          <w:szCs w:val="24"/>
        </w:rPr>
        <w:t>ukierunkowanych</w:t>
      </w:r>
      <w:r w:rsidRPr="00077EA3">
        <w:rPr>
          <w:rFonts w:ascii="Times New Roman" w:hAnsi="Times New Roman" w:cs="Times New Roman"/>
          <w:sz w:val="24"/>
          <w:szCs w:val="24"/>
        </w:rPr>
        <w:t xml:space="preserve"> na zwiększeni</w:t>
      </w:r>
      <w:r w:rsidR="00995162">
        <w:rPr>
          <w:rFonts w:ascii="Times New Roman" w:hAnsi="Times New Roman" w:cs="Times New Roman"/>
          <w:sz w:val="24"/>
          <w:szCs w:val="24"/>
        </w:rPr>
        <w:t>e</w:t>
      </w:r>
      <w:r w:rsidRPr="00077EA3">
        <w:rPr>
          <w:rFonts w:ascii="Times New Roman" w:hAnsi="Times New Roman" w:cs="Times New Roman"/>
          <w:sz w:val="24"/>
          <w:szCs w:val="24"/>
        </w:rPr>
        <w:t xml:space="preserve"> wykorzystania energii słonecznej. </w:t>
      </w:r>
    </w:p>
    <w:p w14:paraId="654BE5BA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A08">
        <w:rPr>
          <w:rFonts w:ascii="Times New Roman" w:hAnsi="Times New Roman" w:cs="Times New Roman"/>
          <w:b/>
          <w:i/>
          <w:sz w:val="24"/>
          <w:szCs w:val="24"/>
        </w:rPr>
        <w:t>Selekcja najlepszych w danej kategorii</w:t>
      </w:r>
      <w:r w:rsidRPr="00077EA3">
        <w:rPr>
          <w:rFonts w:ascii="Times New Roman" w:hAnsi="Times New Roman" w:cs="Times New Roman"/>
          <w:sz w:val="24"/>
          <w:szCs w:val="24"/>
        </w:rPr>
        <w:t xml:space="preserve"> (ang. </w:t>
      </w:r>
      <w:r w:rsidRPr="009E10B4">
        <w:rPr>
          <w:rFonts w:ascii="Times New Roman" w:hAnsi="Times New Roman" w:cs="Times New Roman"/>
          <w:i/>
          <w:sz w:val="24"/>
          <w:szCs w:val="24"/>
        </w:rPr>
        <w:t>best in class investment selection</w:t>
      </w:r>
      <w:r w:rsidRPr="00077EA3">
        <w:rPr>
          <w:rFonts w:ascii="Times New Roman" w:hAnsi="Times New Roman" w:cs="Times New Roman"/>
          <w:sz w:val="24"/>
          <w:szCs w:val="24"/>
        </w:rPr>
        <w:t xml:space="preserve">) jest strategią pozytywnej selekcji i oznacza inwestowanie w spółki o najlepszych wynikach pod względem kryteriów ESG (z każdego sektora gospodarki). </w:t>
      </w:r>
    </w:p>
    <w:p w14:paraId="2BB9071C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A08">
        <w:rPr>
          <w:rFonts w:ascii="Times New Roman" w:hAnsi="Times New Roman" w:cs="Times New Roman"/>
          <w:b/>
          <w:i/>
          <w:sz w:val="24"/>
          <w:szCs w:val="24"/>
        </w:rPr>
        <w:t>Strategia selekcji na podstawie norm</w:t>
      </w:r>
      <w:r w:rsidRPr="00077EA3">
        <w:rPr>
          <w:rFonts w:ascii="Times New Roman" w:hAnsi="Times New Roman" w:cs="Times New Roman"/>
          <w:sz w:val="24"/>
          <w:szCs w:val="24"/>
        </w:rPr>
        <w:t xml:space="preserve"> (ang. „</w:t>
      </w:r>
      <w:r w:rsidRPr="009E10B4">
        <w:rPr>
          <w:rFonts w:ascii="Times New Roman" w:hAnsi="Times New Roman" w:cs="Times New Roman"/>
          <w:i/>
          <w:sz w:val="24"/>
          <w:szCs w:val="24"/>
        </w:rPr>
        <w:t>norm based screening</w:t>
      </w:r>
      <w:r w:rsidRPr="00077EA3">
        <w:rPr>
          <w:rFonts w:ascii="Times New Roman" w:hAnsi="Times New Roman" w:cs="Times New Roman"/>
          <w:sz w:val="24"/>
          <w:szCs w:val="24"/>
        </w:rPr>
        <w:t xml:space="preserve">”) polega na wyłączaniu z portfela inwestycyjnego spółek nie spełniających międzynarodowych standardów związanych z obszarami zarządzania środowiskowego, odpowiedzialności społecznej i ładu korporacyjnego. Najczęściej są uwzględnianie normy ONZ, UNICEF i OECD, na przykład dotyczące zakazu produkcji, a zatem inwestowania w przedsiębiorstwa produkujące miny przeciwpiechotne i amunicję kasetową. </w:t>
      </w:r>
    </w:p>
    <w:p w14:paraId="74527E48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A08">
        <w:rPr>
          <w:rFonts w:ascii="Times New Roman" w:hAnsi="Times New Roman" w:cs="Times New Roman"/>
          <w:b/>
          <w:i/>
          <w:sz w:val="24"/>
          <w:szCs w:val="24"/>
        </w:rPr>
        <w:t>Negatywna selekcja</w:t>
      </w:r>
      <w:r w:rsidRPr="00077EA3">
        <w:rPr>
          <w:rFonts w:ascii="Times New Roman" w:hAnsi="Times New Roman" w:cs="Times New Roman"/>
          <w:sz w:val="24"/>
          <w:szCs w:val="24"/>
        </w:rPr>
        <w:t xml:space="preserve"> (ang. </w:t>
      </w:r>
      <w:r w:rsidRPr="0078216C">
        <w:rPr>
          <w:rFonts w:ascii="Times New Roman" w:hAnsi="Times New Roman" w:cs="Times New Roman"/>
          <w:i/>
          <w:sz w:val="24"/>
          <w:szCs w:val="24"/>
        </w:rPr>
        <w:t>Exclusion of holdings from investment universe</w:t>
      </w:r>
      <w:r w:rsidRPr="00077EA3">
        <w:rPr>
          <w:rFonts w:ascii="Times New Roman" w:hAnsi="Times New Roman" w:cs="Times New Roman"/>
          <w:sz w:val="24"/>
          <w:szCs w:val="24"/>
        </w:rPr>
        <w:t>) jest najstarszą strategią inwestowania społecznie odpowiedzialnego  i polega na eliminacji z portfela inwestycyjnego spółek, których działalność jest niekorzystna pod względem etycznym lub społecznym. Eliminacja dotyczy najczęściej przedsiębiorstw z branż zbrojeniowej, hazardowej, pornograficznej</w:t>
      </w:r>
      <w:r w:rsidR="00995162">
        <w:rPr>
          <w:rFonts w:ascii="Times New Roman" w:hAnsi="Times New Roman" w:cs="Times New Roman"/>
          <w:sz w:val="24"/>
          <w:szCs w:val="24"/>
        </w:rPr>
        <w:t>,</w:t>
      </w:r>
      <w:r w:rsidRPr="00077EA3">
        <w:rPr>
          <w:rFonts w:ascii="Times New Roman" w:hAnsi="Times New Roman" w:cs="Times New Roman"/>
          <w:sz w:val="24"/>
          <w:szCs w:val="24"/>
        </w:rPr>
        <w:t xml:space="preserve"> alkoholowej</w:t>
      </w:r>
      <w:r w:rsidR="00995162">
        <w:rPr>
          <w:rFonts w:ascii="Times New Roman" w:hAnsi="Times New Roman" w:cs="Times New Roman"/>
          <w:sz w:val="24"/>
          <w:szCs w:val="24"/>
        </w:rPr>
        <w:t>,</w:t>
      </w:r>
      <w:r w:rsidRPr="00077EA3">
        <w:rPr>
          <w:rFonts w:ascii="Times New Roman" w:hAnsi="Times New Roman" w:cs="Times New Roman"/>
          <w:sz w:val="24"/>
          <w:szCs w:val="24"/>
        </w:rPr>
        <w:t xml:space="preserve"> tytoniowej, a także podmiotów wspierających zbrodnicze reżimy, wytwarzających produkty testowane na  zwierzętach. </w:t>
      </w:r>
    </w:p>
    <w:p w14:paraId="1BC38A71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A08">
        <w:rPr>
          <w:rFonts w:ascii="Times New Roman" w:hAnsi="Times New Roman" w:cs="Times New Roman"/>
          <w:b/>
          <w:i/>
          <w:sz w:val="24"/>
          <w:szCs w:val="24"/>
        </w:rPr>
        <w:t>Strategia integracji czynników ESG</w:t>
      </w:r>
      <w:r w:rsidRPr="00077EA3">
        <w:rPr>
          <w:rFonts w:ascii="Times New Roman" w:hAnsi="Times New Roman" w:cs="Times New Roman"/>
          <w:sz w:val="24"/>
          <w:szCs w:val="24"/>
        </w:rPr>
        <w:t xml:space="preserve"> (ang. </w:t>
      </w:r>
      <w:r w:rsidRPr="00500A08">
        <w:rPr>
          <w:rFonts w:ascii="Times New Roman" w:hAnsi="Times New Roman" w:cs="Times New Roman"/>
          <w:i/>
          <w:sz w:val="24"/>
          <w:szCs w:val="24"/>
        </w:rPr>
        <w:t>Integration of ESG factors in financial analysis</w:t>
      </w:r>
      <w:r w:rsidRPr="00077EA3">
        <w:rPr>
          <w:rFonts w:ascii="Times New Roman" w:hAnsi="Times New Roman" w:cs="Times New Roman"/>
          <w:sz w:val="24"/>
          <w:szCs w:val="24"/>
        </w:rPr>
        <w:t xml:space="preserve">) oznacza rozszerzenie tradycyjnej analizy portfelowej o analizę spółek pod kątem ryzyka związanego z czynnikami ESG. Integracja tych czynników może być korzystne zarówno dla </w:t>
      </w:r>
      <w:r w:rsidRPr="00077EA3">
        <w:rPr>
          <w:rFonts w:ascii="Times New Roman" w:hAnsi="Times New Roman" w:cs="Times New Roman"/>
          <w:sz w:val="24"/>
          <w:szCs w:val="24"/>
        </w:rPr>
        <w:lastRenderedPageBreak/>
        <w:t>inwestorów jak i dla społeczeńs</w:t>
      </w:r>
      <w:r w:rsidR="00500A08">
        <w:rPr>
          <w:rFonts w:ascii="Times New Roman" w:hAnsi="Times New Roman" w:cs="Times New Roman"/>
          <w:sz w:val="24"/>
          <w:szCs w:val="24"/>
        </w:rPr>
        <w:t>twa (</w:t>
      </w:r>
      <w:r w:rsidRPr="00077EA3">
        <w:rPr>
          <w:rFonts w:ascii="Times New Roman" w:hAnsi="Times New Roman" w:cs="Times New Roman"/>
          <w:sz w:val="24"/>
          <w:szCs w:val="24"/>
        </w:rPr>
        <w:t>Shiller 2013</w:t>
      </w:r>
      <w:r w:rsidR="00500A08">
        <w:rPr>
          <w:rFonts w:ascii="Times New Roman" w:hAnsi="Times New Roman" w:cs="Times New Roman"/>
          <w:sz w:val="24"/>
          <w:szCs w:val="24"/>
        </w:rPr>
        <w:t>)</w:t>
      </w:r>
      <w:r w:rsidRPr="00077EA3">
        <w:rPr>
          <w:rFonts w:ascii="Times New Roman" w:hAnsi="Times New Roman" w:cs="Times New Roman"/>
          <w:sz w:val="24"/>
          <w:szCs w:val="24"/>
        </w:rPr>
        <w:t>. Najczęściej stosowana w takich krajach jak Francja, Wielka Brytania i Holandia.</w:t>
      </w:r>
    </w:p>
    <w:p w14:paraId="37A2D550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A08">
        <w:rPr>
          <w:rFonts w:ascii="Times New Roman" w:hAnsi="Times New Roman" w:cs="Times New Roman"/>
          <w:b/>
          <w:i/>
          <w:sz w:val="24"/>
          <w:szCs w:val="24"/>
        </w:rPr>
        <w:t>Strategia zaangażowania</w:t>
      </w:r>
      <w:r w:rsidRPr="00077EA3">
        <w:rPr>
          <w:rFonts w:ascii="Times New Roman" w:hAnsi="Times New Roman" w:cs="Times New Roman"/>
          <w:sz w:val="24"/>
          <w:szCs w:val="24"/>
        </w:rPr>
        <w:t xml:space="preserve"> (</w:t>
      </w:r>
      <w:r w:rsidR="00500A08">
        <w:rPr>
          <w:rFonts w:ascii="Times New Roman" w:hAnsi="Times New Roman" w:cs="Times New Roman"/>
          <w:sz w:val="24"/>
          <w:szCs w:val="24"/>
        </w:rPr>
        <w:t xml:space="preserve">ang. </w:t>
      </w:r>
      <w:r w:rsidRPr="00500A08">
        <w:rPr>
          <w:rFonts w:ascii="Times New Roman" w:hAnsi="Times New Roman" w:cs="Times New Roman"/>
          <w:i/>
          <w:sz w:val="24"/>
          <w:szCs w:val="24"/>
        </w:rPr>
        <w:t>Engagement and voting on sustainability matters</w:t>
      </w:r>
      <w:r w:rsidRPr="00077EA3">
        <w:rPr>
          <w:rFonts w:ascii="Times New Roman" w:hAnsi="Times New Roman" w:cs="Times New Roman"/>
          <w:sz w:val="24"/>
          <w:szCs w:val="24"/>
        </w:rPr>
        <w:t>) polega na posiadaniu akcji określonych przedsiębiorstw i aktywne wykorzystanie praw akcjonariuszy do oddziaływania na przedsiębiorstwa. Oddziaływanie takie ma charakter wieloletni i sprowadza się do wymuszania bardziej szczegółowych ujawnień o kwestiach społecznych, ekologicznych i środowiskowych oraz na zwiększeniu uwagi zarządów przedsiębiorstw na te sprawy.</w:t>
      </w:r>
    </w:p>
    <w:p w14:paraId="7CDE23BE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A08">
        <w:rPr>
          <w:rFonts w:ascii="Times New Roman" w:hAnsi="Times New Roman" w:cs="Times New Roman"/>
          <w:b/>
          <w:i/>
          <w:sz w:val="24"/>
          <w:szCs w:val="24"/>
        </w:rPr>
        <w:t>Inwestowanie z pozytywnym wpływem</w:t>
      </w:r>
      <w:r w:rsidRPr="00077EA3">
        <w:rPr>
          <w:rFonts w:ascii="Times New Roman" w:hAnsi="Times New Roman" w:cs="Times New Roman"/>
          <w:sz w:val="24"/>
          <w:szCs w:val="24"/>
        </w:rPr>
        <w:t xml:space="preserve"> jest strategią polegająca na lokowaniu środków w spółki, organizacje i fundusze, które oprócz zwrotu z inwestycji mają wygenerować pozytywny wpływ na środowisko lub społeczeństwo. Obejmuje mikrofinansowanie, czyli udostępnianie usług finansowych dla ubogich społeczności, inwestowanie w społeczności. Strategia inwestowania z pozytywnym wpływem (ang. </w:t>
      </w:r>
      <w:r w:rsidRPr="00500A08">
        <w:rPr>
          <w:rFonts w:ascii="Times New Roman" w:hAnsi="Times New Roman" w:cs="Times New Roman"/>
          <w:i/>
          <w:sz w:val="24"/>
          <w:szCs w:val="24"/>
        </w:rPr>
        <w:t>impact investment</w:t>
      </w:r>
      <w:r w:rsidRPr="00077EA3">
        <w:rPr>
          <w:rFonts w:ascii="Times New Roman" w:hAnsi="Times New Roman" w:cs="Times New Roman"/>
          <w:sz w:val="24"/>
          <w:szCs w:val="24"/>
        </w:rPr>
        <w:t>) jest najnowszą spośród strategii wyodrębnionych przez Eurosif. Strategia ta nazywana również  inwestycjami społecznymi (ang</w:t>
      </w:r>
      <w:r w:rsidRPr="00500A08">
        <w:rPr>
          <w:rFonts w:ascii="Times New Roman" w:hAnsi="Times New Roman" w:cs="Times New Roman"/>
          <w:i/>
          <w:sz w:val="24"/>
          <w:szCs w:val="24"/>
        </w:rPr>
        <w:t>. social investments</w:t>
      </w:r>
      <w:r w:rsidRPr="00077EA3">
        <w:rPr>
          <w:rFonts w:ascii="Times New Roman" w:hAnsi="Times New Roman" w:cs="Times New Roman"/>
          <w:sz w:val="24"/>
          <w:szCs w:val="24"/>
        </w:rPr>
        <w:t xml:space="preserve">) oznacza inwestowanie w projekty zwiększające dobrobyt społeczny. Wśród projektów takich można wyróżnić dwie podstawowe grupy: inwestycje w społeczną integrację i inwestycje w zrównoważony rozwój. Inwestycje w integrację społeczną obejmują najczęściej inwestycje w tanie powszechnie dostępne mieszkania, usługi ochrony zdrowia, usługi edukacyjne oraz mikrofinansowanie. Inwestycje w zrównoważony rozwój najczęściej realizowane są w krajach rozwijających się, w obszarach takich jak zapewnienie odnawialnej energii, wody, żywności (w tym zrównoważone rolnictwo). </w:t>
      </w:r>
    </w:p>
    <w:p w14:paraId="710E2D60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Wielka Brytania, jest jednym z największych rynków odpowiedzialnego inwestowania w Europie. Wy</w:t>
      </w:r>
      <w:r w:rsidR="00500A08">
        <w:rPr>
          <w:rFonts w:ascii="Times New Roman" w:hAnsi="Times New Roman" w:cs="Times New Roman"/>
          <w:sz w:val="24"/>
          <w:szCs w:val="24"/>
        </w:rPr>
        <w:t>niki badań Plantingi i Duurena (2015)</w:t>
      </w:r>
      <w:r w:rsidRPr="00077EA3">
        <w:rPr>
          <w:rFonts w:ascii="Times New Roman" w:hAnsi="Times New Roman" w:cs="Times New Roman"/>
          <w:sz w:val="24"/>
          <w:szCs w:val="24"/>
        </w:rPr>
        <w:t xml:space="preserve"> wskazują również, że więcej niż połowa zarządzających funduszami inwestycyjnymi w Wielkiej Brytanii (w badanych przez nie grupie)  wierzy, że istnieje pozytywny związek między stopami zwrotu i zastosowaniem strategii inwestowania społecznie odpowiedzialnego.</w:t>
      </w:r>
    </w:p>
    <w:p w14:paraId="47EFB7BB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Według danych Eurosif za 2013 r. kwota inwestycji odpowiedzialnych społecznie w Wielkiej wyniosła 2,893 mld funtów i wzrosła z 1,118 mld funtów w roku 2011. Struktura inwestycji odpowiedzialnych społecznie była została przedstawiona na rysunku 1.</w:t>
      </w:r>
    </w:p>
    <w:p w14:paraId="52686483" w14:textId="77777777" w:rsidR="00DF7BA3" w:rsidRPr="00077EA3" w:rsidRDefault="00DF7BA3" w:rsidP="00DF7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4DECB" w14:textId="77777777" w:rsidR="00AB4B6C" w:rsidRDefault="00AB4B6C" w:rsidP="00DF7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09A84F5" wp14:editId="72EBA3A3">
            <wp:extent cx="4572000" cy="27432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C43C61F" w14:textId="77777777" w:rsidR="00CB2D8C" w:rsidRDefault="00CB2D8C" w:rsidP="00AB4B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146BD4" w14:textId="77777777" w:rsidR="00AB4B6C" w:rsidRDefault="00AB4B6C" w:rsidP="00AB4B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B6C">
        <w:rPr>
          <w:rFonts w:ascii="Times New Roman" w:hAnsi="Times New Roman" w:cs="Times New Roman"/>
          <w:sz w:val="20"/>
          <w:szCs w:val="20"/>
        </w:rPr>
        <w:t>* Wartość inwestowania z pozytywnym wpływem jest prawdopodobnie znacznie zaniżona. Raport Eurosif nie uwzględnia inwestycji ze środków publicznych i z organizacji filantropijnych. Środki te stanowią główne źródła finansowania inwestycji z pozytywnym wpływem.</w:t>
      </w:r>
    </w:p>
    <w:p w14:paraId="0D797252" w14:textId="77777777" w:rsidR="00CB2D8C" w:rsidRDefault="00CB2D8C" w:rsidP="00AB4B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236027" w14:textId="77777777" w:rsidR="00CB2D8C" w:rsidRPr="00CB2D8C" w:rsidRDefault="00CB2D8C" w:rsidP="00CB2D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D8C">
        <w:rPr>
          <w:rFonts w:ascii="Times New Roman" w:hAnsi="Times New Roman" w:cs="Times New Roman"/>
          <w:sz w:val="24"/>
          <w:szCs w:val="24"/>
        </w:rPr>
        <w:t>Rysunek 1. Struktura inwestycji odpowiedzialnych społecznie w Wielkiej Brytanii w 2013 r. w mln funtów</w:t>
      </w:r>
    </w:p>
    <w:p w14:paraId="732C59A8" w14:textId="77777777" w:rsidR="00CB2D8C" w:rsidRPr="00AB4B6C" w:rsidRDefault="00CB2D8C" w:rsidP="00AB4B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7889A8" w14:textId="77777777" w:rsidR="00AB4B6C" w:rsidRPr="00AB4B6C" w:rsidRDefault="00AB4B6C" w:rsidP="00AB4B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459CD1" w14:textId="77777777" w:rsidR="00DF7BA3" w:rsidRPr="00CB2D8C" w:rsidRDefault="00DF7BA3" w:rsidP="008A6E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B2D8C">
        <w:rPr>
          <w:rFonts w:ascii="Times New Roman" w:hAnsi="Times New Roman" w:cs="Times New Roman"/>
          <w:sz w:val="20"/>
          <w:szCs w:val="20"/>
        </w:rPr>
        <w:t>Źródło: opracowanie własne na Raport European SRI Study,  Eurosif  2014. s. 22 i 65</w:t>
      </w:r>
    </w:p>
    <w:p w14:paraId="279DCCE7" w14:textId="77777777" w:rsidR="00CB2D8C" w:rsidRDefault="00CB2D8C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CA7EA0" w14:textId="77777777" w:rsidR="00DF7BA3" w:rsidRPr="00077E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Wykres struktury inwestycji odpowiedzialnych społecznie w Wielkiej Brytanii wskazuje, że największy udział mają strategie zaangażowania (49,55% zainwestowanych środków), integracji ESG (34,23% zainwestowanych środków), negatywnej selekcji (13,63% zainwestowanych środków), selekcji na podstawie norm (2,06% zainwestowanych środków). Można na tej podstawie wyciągnąć wniosek, że w Wielkiej Brytanii największe znaczenie  mają strategie w przypadku których duże znaczenie mają bieżące ujawnienia o wpływie danego przedsiębiorstwa na społeczeństwo i środowisko (ponad 80% zainwestowanych środków). </w:t>
      </w:r>
    </w:p>
    <w:p w14:paraId="5268AF9E" w14:textId="77777777" w:rsidR="00DF7BA3" w:rsidRDefault="00DF7B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Jednym z podstawowych źródeł informacji o przedsiębiorstwach są ich raporty roczne, a w przypadku spółek notowanych na LSE ich część nazywana raportem strategicznym. Powstaje zatem pytanie o zakres ujawnień w raportach strategicznych spółek notowanych na Giełdzie Londyńskiej.</w:t>
      </w:r>
    </w:p>
    <w:p w14:paraId="15262508" w14:textId="77777777" w:rsidR="00AB4B6C" w:rsidRDefault="00AB4B6C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4B6C">
        <w:rPr>
          <w:rFonts w:ascii="Times New Roman" w:hAnsi="Times New Roman" w:cs="Times New Roman"/>
          <w:sz w:val="24"/>
          <w:szCs w:val="24"/>
        </w:rPr>
        <w:t xml:space="preserve">Dyskusja naukowa nad inwestowaniem koncentrowała się dotychczas głównie na zagadnieniach efektywności portfeli opartych na strategiach inwestowania społecznie odpowiedzialnego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B6C">
        <w:rPr>
          <w:rFonts w:ascii="Times New Roman" w:hAnsi="Times New Roman" w:cs="Times New Roman"/>
          <w:sz w:val="24"/>
          <w:szCs w:val="24"/>
        </w:rPr>
        <w:t>zob. szerzej, Luther 1992, Bauer i in. 2005, Brammer i in 2006,  Sandberg i in. 2009,  Humphrey, Tan 2014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B6C">
        <w:rPr>
          <w:rFonts w:ascii="Times New Roman" w:hAnsi="Times New Roman" w:cs="Times New Roman"/>
          <w:sz w:val="24"/>
          <w:szCs w:val="24"/>
        </w:rPr>
        <w:t xml:space="preserve">. Obszerne badania literaturowe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B6C">
        <w:rPr>
          <w:rFonts w:ascii="Times New Roman" w:hAnsi="Times New Roman" w:cs="Times New Roman"/>
          <w:sz w:val="24"/>
          <w:szCs w:val="24"/>
        </w:rPr>
        <w:t>Urban 2011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B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B6C">
        <w:rPr>
          <w:rFonts w:ascii="Times New Roman" w:hAnsi="Times New Roman" w:cs="Times New Roman"/>
          <w:sz w:val="24"/>
          <w:szCs w:val="24"/>
        </w:rPr>
        <w:t xml:space="preserve">Rogowski, </w:t>
      </w:r>
      <w:r w:rsidRPr="00AB4B6C">
        <w:rPr>
          <w:rFonts w:ascii="Times New Roman" w:hAnsi="Times New Roman" w:cs="Times New Roman"/>
          <w:sz w:val="24"/>
          <w:szCs w:val="24"/>
        </w:rPr>
        <w:lastRenderedPageBreak/>
        <w:t>Ulianiuk 2012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B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B6C">
        <w:rPr>
          <w:rFonts w:ascii="Times New Roman" w:hAnsi="Times New Roman" w:cs="Times New Roman"/>
          <w:sz w:val="24"/>
          <w:szCs w:val="24"/>
        </w:rPr>
        <w:t>Capelle-Blancard and Monjon 2012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B6C">
        <w:rPr>
          <w:rFonts w:ascii="Times New Roman" w:hAnsi="Times New Roman" w:cs="Times New Roman"/>
          <w:sz w:val="24"/>
          <w:szCs w:val="24"/>
        </w:rPr>
        <w:t xml:space="preserve"> wskazują, że wpływ zastosowania strategii inwestowania społecznego na wyniki finansowe jest ograniczony i nieistotny statystycznie. Innym ważnym trendem w badaniach nad inwestowaniem społecznie odpowiedzialnym są czynniki wpływające na podejmowanie decyzji o inwestycjach społecznie odpowiedzialnych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B6C">
        <w:rPr>
          <w:rFonts w:ascii="Times New Roman" w:hAnsi="Times New Roman" w:cs="Times New Roman"/>
          <w:sz w:val="24"/>
          <w:szCs w:val="24"/>
        </w:rPr>
        <w:t>Rosen i in 1991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B6C">
        <w:rPr>
          <w:rFonts w:ascii="Times New Roman" w:hAnsi="Times New Roman" w:cs="Times New Roman"/>
          <w:sz w:val="24"/>
          <w:szCs w:val="24"/>
        </w:rPr>
        <w:t>,</w:t>
      </w:r>
      <w:r w:rsidR="005E1719">
        <w:rPr>
          <w:rFonts w:ascii="Times New Roman" w:hAnsi="Times New Roman" w:cs="Times New Roman"/>
          <w:sz w:val="24"/>
          <w:szCs w:val="24"/>
        </w:rPr>
        <w:t xml:space="preserve"> (Friedmann i Miles 2000)</w:t>
      </w:r>
      <w:r w:rsidR="00CD48BB">
        <w:rPr>
          <w:rFonts w:ascii="Times New Roman" w:hAnsi="Times New Roman" w:cs="Times New Roman"/>
          <w:sz w:val="24"/>
          <w:szCs w:val="24"/>
        </w:rPr>
        <w:t>,</w:t>
      </w:r>
      <w:r w:rsidRPr="00AB4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B6C">
        <w:rPr>
          <w:rFonts w:ascii="Times New Roman" w:hAnsi="Times New Roman" w:cs="Times New Roman"/>
          <w:sz w:val="24"/>
          <w:szCs w:val="24"/>
        </w:rPr>
        <w:t>Nilsson 2008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B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B6C">
        <w:rPr>
          <w:rFonts w:ascii="Times New Roman" w:hAnsi="Times New Roman" w:cs="Times New Roman"/>
          <w:sz w:val="24"/>
          <w:szCs w:val="24"/>
        </w:rPr>
        <w:t>Berry, Junkus 2013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B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B6C">
        <w:rPr>
          <w:rFonts w:ascii="Times New Roman" w:hAnsi="Times New Roman" w:cs="Times New Roman"/>
          <w:sz w:val="24"/>
          <w:szCs w:val="24"/>
        </w:rPr>
        <w:t>Duuren i in 2015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B6C">
        <w:rPr>
          <w:rFonts w:ascii="Times New Roman" w:hAnsi="Times New Roman" w:cs="Times New Roman"/>
          <w:sz w:val="24"/>
          <w:szCs w:val="24"/>
        </w:rPr>
        <w:t>.</w:t>
      </w:r>
    </w:p>
    <w:p w14:paraId="73675535" w14:textId="77777777" w:rsidR="00C40431" w:rsidRDefault="00C40431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Już </w:t>
      </w:r>
      <w:r w:rsidR="005E1719">
        <w:rPr>
          <w:rFonts w:ascii="Times New Roman" w:hAnsi="Times New Roman" w:cs="Times New Roman"/>
          <w:sz w:val="24"/>
          <w:szCs w:val="24"/>
        </w:rPr>
        <w:t>na przełomie XX i XXI wieku Friedman i Miles (2000) na podstawie 14 wywiadów z ekspertami wykazali, że ilość i jakość ujawnień o wpływie przedsiębiorstw na społeczeństwo</w:t>
      </w:r>
      <w:r w:rsidR="00CD48BB">
        <w:rPr>
          <w:rFonts w:ascii="Times New Roman" w:hAnsi="Times New Roman" w:cs="Times New Roman"/>
          <w:sz w:val="24"/>
          <w:szCs w:val="24"/>
        </w:rPr>
        <w:t xml:space="preserve"> oraz inwestowanie społecznie odpowiedzialne</w:t>
      </w:r>
      <w:r w:rsidR="005E1719">
        <w:rPr>
          <w:rFonts w:ascii="Times New Roman" w:hAnsi="Times New Roman" w:cs="Times New Roman"/>
          <w:sz w:val="24"/>
          <w:szCs w:val="24"/>
        </w:rPr>
        <w:t xml:space="preserve"> są wzajemnie powiązane. Ich zdaniem zwiększony nacisk na uwzględnianie czynników etycznych przyczynia się do </w:t>
      </w:r>
      <w:r w:rsidR="00B445A4">
        <w:rPr>
          <w:rFonts w:ascii="Times New Roman" w:hAnsi="Times New Roman" w:cs="Times New Roman"/>
          <w:sz w:val="24"/>
          <w:szCs w:val="24"/>
        </w:rPr>
        <w:t>wzmożonego</w:t>
      </w:r>
      <w:r w:rsidR="005E1719">
        <w:rPr>
          <w:rFonts w:ascii="Times New Roman" w:hAnsi="Times New Roman" w:cs="Times New Roman"/>
          <w:sz w:val="24"/>
          <w:szCs w:val="24"/>
        </w:rPr>
        <w:t xml:space="preserve"> zapotrzebowania ze strony inwestorów na lepsze ujawnienia w zakresie wpływu przedsiębiorstw na społeczeństwo i środowisko. Jest on dodatkowo wzmacniany zwiększaniem się liczby podmiotów stosujących strategie inwestowania społecznie odpowiedzialnego i wartością zarządzanych przez nie aktywów. Z drugiej strony lepsza jakość ujawnień ESG przyczynia się do zwiększenia ich legitymizacji i poziomu zaufania do nich oraz zwiększa zainteresowanie inwestowaniem społecznie odpowiedzialnym.</w:t>
      </w:r>
      <w:r w:rsidR="008209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CC006" w14:textId="77777777" w:rsidR="00820930" w:rsidRDefault="000C7899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Berry i Junkus (2013) przebadali 5 391 inwestorów indywidualnych ze Stanów Zjednoczonych, zrzeszonych w </w:t>
      </w:r>
      <w:r w:rsidRPr="000C7899">
        <w:rPr>
          <w:rFonts w:ascii="Times New Roman" w:hAnsi="Times New Roman" w:cs="Times New Roman"/>
          <w:sz w:val="24"/>
          <w:szCs w:val="24"/>
        </w:rPr>
        <w:t>America</w:t>
      </w:r>
      <w:bookmarkStart w:id="2" w:name="_GoBack"/>
      <w:bookmarkEnd w:id="2"/>
      <w:r w:rsidRPr="000C7899">
        <w:rPr>
          <w:rFonts w:ascii="Times New Roman" w:hAnsi="Times New Roman" w:cs="Times New Roman"/>
          <w:sz w:val="24"/>
          <w:szCs w:val="24"/>
        </w:rPr>
        <w:t>n Association of Individual Investors</w:t>
      </w:r>
      <w:r>
        <w:rPr>
          <w:rFonts w:ascii="Times New Roman" w:hAnsi="Times New Roman" w:cs="Times New Roman"/>
          <w:sz w:val="24"/>
          <w:szCs w:val="24"/>
        </w:rPr>
        <w:t xml:space="preserve"> – zarówno takich, którzy wskazali, że stosują choć w części strategie inwestowania społecznie odpowiedzialnego (1 761) oraz pozostałych (3035). Czynnikami</w:t>
      </w:r>
      <w:r w:rsidR="00B445A4">
        <w:rPr>
          <w:rFonts w:ascii="Times New Roman" w:hAnsi="Times New Roman" w:cs="Times New Roman"/>
          <w:sz w:val="24"/>
          <w:szCs w:val="24"/>
        </w:rPr>
        <w:t xml:space="preserve"> społeczno-środowiskowymi</w:t>
      </w:r>
      <w:r>
        <w:rPr>
          <w:rFonts w:ascii="Times New Roman" w:hAnsi="Times New Roman" w:cs="Times New Roman"/>
          <w:sz w:val="24"/>
          <w:szCs w:val="24"/>
        </w:rPr>
        <w:t xml:space="preserve">, które miały największy wpływ na podejmowane przez nich decyzje </w:t>
      </w:r>
      <w:r w:rsidR="00B445A4">
        <w:rPr>
          <w:rFonts w:ascii="Times New Roman" w:hAnsi="Times New Roman" w:cs="Times New Roman"/>
          <w:sz w:val="24"/>
          <w:szCs w:val="24"/>
        </w:rPr>
        <w:t xml:space="preserve">inwestycyjne </w:t>
      </w:r>
      <w:r>
        <w:rPr>
          <w:rFonts w:ascii="Times New Roman" w:hAnsi="Times New Roman" w:cs="Times New Roman"/>
          <w:sz w:val="24"/>
          <w:szCs w:val="24"/>
        </w:rPr>
        <w:t xml:space="preserve">były: wpływ na środowisko naturalne, zasady stosowane przez przedsiębiorstwa, produkty oferowane przez </w:t>
      </w:r>
      <w:r w:rsidR="00820930">
        <w:rPr>
          <w:rFonts w:ascii="Times New Roman" w:hAnsi="Times New Roman" w:cs="Times New Roman"/>
          <w:sz w:val="24"/>
          <w:szCs w:val="24"/>
        </w:rPr>
        <w:t>spółkę, aktywność społeczna, aktywność polityczna, zgodność z zasadami religii.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30">
        <w:rPr>
          <w:rFonts w:ascii="Times New Roman" w:hAnsi="Times New Roman" w:cs="Times New Roman"/>
          <w:sz w:val="24"/>
          <w:szCs w:val="24"/>
        </w:rPr>
        <w:t xml:space="preserve">W poszczególnych podkategoriach – jako najbardziej istotne kwestie inwestorzy wskazali zagadnienia wskazane w tabeli </w:t>
      </w:r>
      <w:r w:rsidR="00B445A4">
        <w:rPr>
          <w:rFonts w:ascii="Times New Roman" w:hAnsi="Times New Roman" w:cs="Times New Roman"/>
          <w:sz w:val="24"/>
          <w:szCs w:val="24"/>
        </w:rPr>
        <w:t>2</w:t>
      </w:r>
      <w:r w:rsidR="00820930">
        <w:rPr>
          <w:rFonts w:ascii="Times New Roman" w:hAnsi="Times New Roman" w:cs="Times New Roman"/>
          <w:sz w:val="24"/>
          <w:szCs w:val="24"/>
        </w:rPr>
        <w:t>.</w:t>
      </w:r>
    </w:p>
    <w:p w14:paraId="5B9F8410" w14:textId="77777777" w:rsidR="009F5B9D" w:rsidRDefault="009F5B9D" w:rsidP="00CB2D8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 xml:space="preserve">Tabela </w:t>
      </w:r>
      <w:r w:rsidR="00CB2D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Znaczenie różnych czynników dla </w:t>
      </w:r>
      <w:r w:rsidR="00CB2D8C">
        <w:rPr>
          <w:rFonts w:ascii="Times New Roman" w:hAnsi="Times New Roman" w:cs="Times New Roman"/>
          <w:sz w:val="24"/>
          <w:szCs w:val="24"/>
        </w:rPr>
        <w:t>inwestorów</w:t>
      </w:r>
      <w:commentRangeEnd w:id="3"/>
      <w:r w:rsidR="00C26535">
        <w:rPr>
          <w:rStyle w:val="Odwoaniedokomentarza"/>
        </w:rPr>
        <w:commentReference w:id="3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412"/>
        <w:gridCol w:w="1745"/>
        <w:gridCol w:w="1745"/>
        <w:gridCol w:w="1745"/>
      </w:tblGrid>
      <w:tr w:rsidR="009F5B9D" w:rsidRPr="00820930" w14:paraId="2B642113" w14:textId="77777777" w:rsidTr="00B445A4">
        <w:tc>
          <w:tcPr>
            <w:tcW w:w="1413" w:type="dxa"/>
            <w:shd w:val="clear" w:color="auto" w:fill="D9D9D9" w:themeFill="background1" w:themeFillShade="D9"/>
          </w:tcPr>
          <w:p w14:paraId="119A4A82" w14:textId="77777777" w:rsidR="009F5B9D" w:rsidRPr="00CB2D8C" w:rsidRDefault="009F5B9D" w:rsidP="009F5B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>Podkategoria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672917E5" w14:textId="77777777" w:rsidR="009F5B9D" w:rsidRPr="00CB2D8C" w:rsidRDefault="009F5B9D" w:rsidP="009F5B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>Środowisko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2E868EA6" w14:textId="77777777" w:rsidR="009F5B9D" w:rsidRPr="00CB2D8C" w:rsidRDefault="009F5B9D" w:rsidP="009F5B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>Stosowane zasady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7B1B43B4" w14:textId="77777777" w:rsidR="009F5B9D" w:rsidRPr="00CB2D8C" w:rsidRDefault="009F5B9D" w:rsidP="009F5B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>Aktywność społeczna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60014294" w14:textId="77777777" w:rsidR="009F5B9D" w:rsidRPr="00CB2D8C" w:rsidRDefault="009F5B9D" w:rsidP="009F5B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D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Problemy powodowane przez produkty </w:t>
            </w:r>
          </w:p>
        </w:tc>
      </w:tr>
      <w:tr w:rsidR="009F5B9D" w:rsidRPr="00820930" w14:paraId="6CD7AD3A" w14:textId="77777777" w:rsidTr="00B445A4">
        <w:tc>
          <w:tcPr>
            <w:tcW w:w="1413" w:type="dxa"/>
          </w:tcPr>
          <w:p w14:paraId="3B55B2AA" w14:textId="77777777" w:rsidR="009F5B9D" w:rsidRPr="00820930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Czynniki w kolejności od najważniej</w:t>
            </w:r>
            <w:r w:rsidR="00B445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szego do najmniej ważnego</w:t>
            </w:r>
          </w:p>
        </w:tc>
        <w:tc>
          <w:tcPr>
            <w:tcW w:w="2412" w:type="dxa"/>
          </w:tcPr>
          <w:p w14:paraId="61B3F8A6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Wyniki wpływu na środowisko (efektywność środowiskowa)</w:t>
            </w:r>
          </w:p>
          <w:p w14:paraId="5056F0CA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Wpływ produktów na środowisko</w:t>
            </w:r>
          </w:p>
          <w:p w14:paraId="32605238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Zastosowanie pestycydów</w:t>
            </w:r>
          </w:p>
          <w:p w14:paraId="343F0A35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Żywność modyfikowana genetycznie</w:t>
            </w:r>
          </w:p>
          <w:p w14:paraId="71776140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Wycinka drzew</w:t>
            </w:r>
          </w:p>
          <w:p w14:paraId="0BDAD7D4" w14:textId="77777777" w:rsidR="009F5B9D" w:rsidRPr="00820930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Zagrożenie nuklearne</w:t>
            </w:r>
          </w:p>
        </w:tc>
        <w:tc>
          <w:tcPr>
            <w:tcW w:w="1745" w:type="dxa"/>
          </w:tcPr>
          <w:p w14:paraId="659691FE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Przestrzeganie prawa</w:t>
            </w:r>
          </w:p>
          <w:p w14:paraId="5C6B9D08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Zachowania menedżerów</w:t>
            </w:r>
          </w:p>
          <w:p w14:paraId="27741AFE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Zarządzanie łańcuchem dostaw</w:t>
            </w:r>
          </w:p>
          <w:p w14:paraId="2C3C4902" w14:textId="77777777" w:rsidR="009F5B9D" w:rsidRPr="00820930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Corporate Governance</w:t>
            </w:r>
          </w:p>
        </w:tc>
        <w:tc>
          <w:tcPr>
            <w:tcW w:w="1745" w:type="dxa"/>
          </w:tcPr>
          <w:p w14:paraId="1FC99730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Prawa pracownicze</w:t>
            </w:r>
          </w:p>
          <w:p w14:paraId="13B9CE87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Prawa człowieka</w:t>
            </w:r>
          </w:p>
          <w:p w14:paraId="5A34CC76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Bezpieczeństwo produktu</w:t>
            </w:r>
          </w:p>
          <w:p w14:paraId="3694A648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Bezpieczeństwo pracy</w:t>
            </w:r>
          </w:p>
          <w:p w14:paraId="7FBBE2B5" w14:textId="77777777" w:rsidR="009F5B9D" w:rsidRDefault="00B445A4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Inwestycje</w:t>
            </w:r>
            <w:r w:rsidR="009F5B9D">
              <w:rPr>
                <w:rFonts w:ascii="Times New Roman" w:hAnsi="Times New Roman" w:cs="Times New Roman"/>
                <w:sz w:val="20"/>
                <w:szCs w:val="20"/>
              </w:rPr>
              <w:t xml:space="preserve"> w społeczności</w:t>
            </w:r>
          </w:p>
          <w:p w14:paraId="65F52FB0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Prawa zwierząt</w:t>
            </w:r>
          </w:p>
          <w:p w14:paraId="0A336F8C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9F5B9D">
              <w:rPr>
                <w:rFonts w:ascii="Times New Roman" w:hAnsi="Times New Roman" w:cs="Times New Roman"/>
                <w:sz w:val="20"/>
                <w:szCs w:val="20"/>
              </w:rPr>
              <w:t>ktywność polityczna, zgodność z zasadami religii</w:t>
            </w:r>
          </w:p>
          <w:p w14:paraId="724B03F4" w14:textId="77777777" w:rsidR="009F5B9D" w:rsidRPr="00820930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42E3AD63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Pornografia</w:t>
            </w:r>
          </w:p>
          <w:p w14:paraId="337F91A6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Tytoń</w:t>
            </w:r>
          </w:p>
          <w:p w14:paraId="4003493F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Hazard</w:t>
            </w:r>
          </w:p>
          <w:p w14:paraId="591DDBB7" w14:textId="77777777" w:rsidR="001E5AE1" w:rsidRDefault="001E5AE1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Alkohol</w:t>
            </w:r>
          </w:p>
          <w:p w14:paraId="6982CF8C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Broń palna</w:t>
            </w:r>
          </w:p>
          <w:p w14:paraId="5A61266B" w14:textId="77777777" w:rsidR="001E5AE1" w:rsidRDefault="001E5AE1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Futra</w:t>
            </w:r>
          </w:p>
          <w:p w14:paraId="5C0BBAAD" w14:textId="77777777" w:rsidR="009F5B9D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Niezdrowe produkty skierowane do dzieci</w:t>
            </w:r>
          </w:p>
          <w:p w14:paraId="49055697" w14:textId="77777777" w:rsidR="009F5B9D" w:rsidRPr="00820930" w:rsidRDefault="009F5B9D" w:rsidP="009F5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1D8A20" w14:textId="77777777" w:rsidR="000C7899" w:rsidRPr="00CB2D8C" w:rsidRDefault="009F5B9D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CB2D8C">
        <w:rPr>
          <w:rFonts w:ascii="Times New Roman" w:hAnsi="Times New Roman" w:cs="Times New Roman"/>
          <w:sz w:val="20"/>
          <w:szCs w:val="20"/>
        </w:rPr>
        <w:lastRenderedPageBreak/>
        <w:t>Źródło: opracowanie własne na podstawie Berry, Junkus 2013, s. 715-716</w:t>
      </w:r>
    </w:p>
    <w:p w14:paraId="6D48B16F" w14:textId="77777777" w:rsidR="001E5AE1" w:rsidRDefault="001E5AE1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Nieoczekiwanymi (niezgodnym z wcześniejszymi badaniami) wynikami badań Berry i Junkus było, to że inwestorzy w większym stopniu wykorzystują dane do wyboru („nagradzania”) spółek, które wykazują pozytywny wpływ na środowisko niż do selekcji negatywnej (wyłączania akcji spółek z  portfela inwestycyjnego).</w:t>
      </w:r>
    </w:p>
    <w:p w14:paraId="18CBD7ED" w14:textId="77777777" w:rsidR="00CD48BB" w:rsidRPr="00077EA3" w:rsidRDefault="00CD48BB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Badania prowadzone przez Duringę i in (2015) na próbie 126 menedżerów portfeli inwestycyjnych </w:t>
      </w:r>
      <w:r w:rsidR="0017231E">
        <w:rPr>
          <w:rFonts w:ascii="Times New Roman" w:hAnsi="Times New Roman" w:cs="Times New Roman"/>
          <w:sz w:val="24"/>
          <w:szCs w:val="24"/>
        </w:rPr>
        <w:t xml:space="preserve">głównie </w:t>
      </w:r>
      <w:r>
        <w:rPr>
          <w:rFonts w:ascii="Times New Roman" w:hAnsi="Times New Roman" w:cs="Times New Roman"/>
          <w:sz w:val="24"/>
          <w:szCs w:val="24"/>
        </w:rPr>
        <w:t xml:space="preserve">z Wielkiej Brytanii, Stanów Zjednoczonych </w:t>
      </w:r>
      <w:r w:rsidR="0017231E">
        <w:rPr>
          <w:rFonts w:ascii="Times New Roman" w:hAnsi="Times New Roman" w:cs="Times New Roman"/>
          <w:sz w:val="24"/>
          <w:szCs w:val="24"/>
        </w:rPr>
        <w:t>oraz w mniejszym stopniu z innych krajów świata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231E">
        <w:rPr>
          <w:rFonts w:ascii="Times New Roman" w:hAnsi="Times New Roman" w:cs="Times New Roman"/>
          <w:sz w:val="24"/>
          <w:szCs w:val="24"/>
        </w:rPr>
        <w:t>Okazał</w:t>
      </w:r>
      <w:r w:rsidR="00B445A4">
        <w:rPr>
          <w:rFonts w:ascii="Times New Roman" w:hAnsi="Times New Roman" w:cs="Times New Roman"/>
          <w:sz w:val="24"/>
          <w:szCs w:val="24"/>
        </w:rPr>
        <w:t>o</w:t>
      </w:r>
      <w:r w:rsidR="0017231E">
        <w:rPr>
          <w:rFonts w:ascii="Times New Roman" w:hAnsi="Times New Roman" w:cs="Times New Roman"/>
          <w:sz w:val="24"/>
          <w:szCs w:val="24"/>
        </w:rPr>
        <w:t xml:space="preserve"> się, że większość badanych wykorzystuje informacje o wpływie przedsiębiorstwa. Dane takie są, w pierwszej kolejności</w:t>
      </w:r>
      <w:r w:rsidR="00B445A4">
        <w:rPr>
          <w:rFonts w:ascii="Times New Roman" w:hAnsi="Times New Roman" w:cs="Times New Roman"/>
          <w:sz w:val="24"/>
          <w:szCs w:val="24"/>
        </w:rPr>
        <w:t xml:space="preserve"> używane</w:t>
      </w:r>
      <w:r w:rsidR="0017231E">
        <w:rPr>
          <w:rFonts w:ascii="Times New Roman" w:hAnsi="Times New Roman" w:cs="Times New Roman"/>
          <w:sz w:val="24"/>
          <w:szCs w:val="24"/>
        </w:rPr>
        <w:t xml:space="preserve"> do zarządzania ryzkiem, a następnie w malejącej częstotliwości do: identyfikacji podmiotów, które są potencjalnie zagrożone (ang</w:t>
      </w:r>
      <w:r w:rsidR="0017231E" w:rsidRPr="0017231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7231E" w:rsidRPr="009668B5">
        <w:rPr>
          <w:rFonts w:ascii="Times New Roman" w:hAnsi="Times New Roman" w:cs="Times New Roman"/>
          <w:i/>
          <w:sz w:val="24"/>
          <w:szCs w:val="24"/>
          <w:lang w:val="en-GB"/>
        </w:rPr>
        <w:t>red flagging</w:t>
      </w:r>
      <w:r w:rsidR="0017231E">
        <w:rPr>
          <w:rFonts w:ascii="Times New Roman" w:hAnsi="Times New Roman" w:cs="Times New Roman"/>
          <w:sz w:val="24"/>
          <w:szCs w:val="24"/>
        </w:rPr>
        <w:t>), wyceny akcji, monitorowania akcji, a w najmniejszym stopniu do selekcji negatywnej. Badania Duringi  i in. (2015)</w:t>
      </w:r>
      <w:r w:rsidR="004521F8">
        <w:rPr>
          <w:rFonts w:ascii="Times New Roman" w:hAnsi="Times New Roman" w:cs="Times New Roman"/>
          <w:sz w:val="24"/>
          <w:szCs w:val="24"/>
        </w:rPr>
        <w:t xml:space="preserve"> wskazały również na istnienie istotnych różnic w sposobie zastosowania danych oraz stopniem przeświadczenia o wpływie zastosowania strategii inwestowania społecznie odpowiedzialnego na wyniki finansowe stosujących je funduszy inwestycyjnych pomiędzy menedżerami pochodzącymi z różnych krajów świata. Menedżerowie z Europy (w tym z Wielkiej Brytanii) biorący udział w badaniu byli w większym stopniu  przekonani</w:t>
      </w:r>
      <w:r w:rsidR="00B445A4">
        <w:rPr>
          <w:rFonts w:ascii="Times New Roman" w:hAnsi="Times New Roman" w:cs="Times New Roman"/>
          <w:sz w:val="24"/>
          <w:szCs w:val="24"/>
        </w:rPr>
        <w:t>a</w:t>
      </w:r>
      <w:r w:rsidR="004521F8">
        <w:rPr>
          <w:rFonts w:ascii="Times New Roman" w:hAnsi="Times New Roman" w:cs="Times New Roman"/>
          <w:sz w:val="24"/>
          <w:szCs w:val="24"/>
        </w:rPr>
        <w:t xml:space="preserve"> o pozytywnym wpływie zastosowania takich strategii na wyniki</w:t>
      </w:r>
      <w:r w:rsidR="00B445A4">
        <w:rPr>
          <w:rFonts w:ascii="Times New Roman" w:hAnsi="Times New Roman" w:cs="Times New Roman"/>
          <w:sz w:val="24"/>
          <w:szCs w:val="24"/>
        </w:rPr>
        <w:t xml:space="preserve"> finansowe inwestycji,</w:t>
      </w:r>
      <w:r w:rsidR="004521F8">
        <w:rPr>
          <w:rFonts w:ascii="Times New Roman" w:hAnsi="Times New Roman" w:cs="Times New Roman"/>
          <w:sz w:val="24"/>
          <w:szCs w:val="24"/>
        </w:rPr>
        <w:t xml:space="preserve"> niż menedżerowie z USA. </w:t>
      </w:r>
    </w:p>
    <w:p w14:paraId="5F276873" w14:textId="77777777" w:rsidR="00DF7BA3" w:rsidRDefault="00DF7BA3" w:rsidP="00FA42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EFD51" w14:textId="77777777" w:rsidR="00077EA3" w:rsidRPr="00500A08" w:rsidRDefault="009E10B4" w:rsidP="00077E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A08">
        <w:rPr>
          <w:rFonts w:ascii="Times New Roman" w:hAnsi="Times New Roman" w:cs="Times New Roman"/>
          <w:b/>
          <w:sz w:val="24"/>
          <w:szCs w:val="24"/>
        </w:rPr>
        <w:t>4</w:t>
      </w:r>
      <w:r w:rsidR="008A6EFB">
        <w:rPr>
          <w:rFonts w:ascii="Times New Roman" w:hAnsi="Times New Roman" w:cs="Times New Roman"/>
          <w:b/>
          <w:sz w:val="24"/>
          <w:szCs w:val="24"/>
        </w:rPr>
        <w:t>. Raport strategiczny i jego miejsce w raporcie rocznym</w:t>
      </w:r>
    </w:p>
    <w:p w14:paraId="56A8B15D" w14:textId="77777777" w:rsidR="009F62A4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Wymóg ujęcia raportu strategicznego w sprawozdaniu rocznym został uchwalony przez parlament brytyjski w lipcu 2013 r. i zaczął obowiązywać dla </w:t>
      </w:r>
      <w:r w:rsidR="00B445A4">
        <w:rPr>
          <w:rFonts w:ascii="Times New Roman" w:hAnsi="Times New Roman" w:cs="Times New Roman"/>
          <w:sz w:val="24"/>
          <w:szCs w:val="24"/>
        </w:rPr>
        <w:t>raportów rocznych</w:t>
      </w:r>
      <w:r w:rsidRPr="00077EA3">
        <w:rPr>
          <w:rFonts w:ascii="Times New Roman" w:hAnsi="Times New Roman" w:cs="Times New Roman"/>
          <w:sz w:val="24"/>
          <w:szCs w:val="24"/>
        </w:rPr>
        <w:t xml:space="preserve"> sporządzonych za rok obrotowy kończący się 30 września 2013 roku lub później.</w:t>
      </w:r>
      <w:r w:rsidR="009F62A4" w:rsidRPr="009F62A4">
        <w:rPr>
          <w:rFonts w:ascii="Times New Roman" w:hAnsi="Times New Roman" w:cs="Times New Roman"/>
          <w:sz w:val="24"/>
          <w:szCs w:val="24"/>
        </w:rPr>
        <w:t xml:space="preserve"> </w:t>
      </w:r>
      <w:r w:rsidR="009F62A4" w:rsidRPr="00077EA3">
        <w:rPr>
          <w:rFonts w:ascii="Times New Roman" w:hAnsi="Times New Roman" w:cs="Times New Roman"/>
          <w:sz w:val="24"/>
          <w:szCs w:val="24"/>
        </w:rPr>
        <w:t xml:space="preserve">Według </w:t>
      </w:r>
      <w:r w:rsidR="008A6EFB">
        <w:rPr>
          <w:rFonts w:ascii="Times New Roman" w:hAnsi="Times New Roman" w:cs="Times New Roman"/>
          <w:sz w:val="24"/>
          <w:szCs w:val="24"/>
        </w:rPr>
        <w:t>KRF</w:t>
      </w:r>
      <w:r w:rsidR="009F62A4" w:rsidRPr="00077EA3">
        <w:rPr>
          <w:rFonts w:ascii="Times New Roman" w:hAnsi="Times New Roman" w:cs="Times New Roman"/>
          <w:sz w:val="24"/>
          <w:szCs w:val="24"/>
        </w:rPr>
        <w:t xml:space="preserve"> raport roczny powinien składać się z następujących części: raportu strategicznego, raportu </w:t>
      </w:r>
      <w:r w:rsidR="00DF6AFC">
        <w:rPr>
          <w:rFonts w:ascii="Times New Roman" w:hAnsi="Times New Roman" w:cs="Times New Roman"/>
          <w:sz w:val="24"/>
          <w:szCs w:val="24"/>
        </w:rPr>
        <w:t>corporate governance</w:t>
      </w:r>
      <w:r w:rsidR="009F62A4" w:rsidRPr="00077EA3">
        <w:rPr>
          <w:rFonts w:ascii="Times New Roman" w:hAnsi="Times New Roman" w:cs="Times New Roman"/>
          <w:sz w:val="24"/>
          <w:szCs w:val="24"/>
        </w:rPr>
        <w:t>, raportu o wynagrodzeniach członków zarządu i rady nadzorczej, sprawozdan</w:t>
      </w:r>
      <w:r w:rsidR="009F62A4">
        <w:rPr>
          <w:rFonts w:ascii="Times New Roman" w:hAnsi="Times New Roman" w:cs="Times New Roman"/>
          <w:sz w:val="24"/>
          <w:szCs w:val="24"/>
        </w:rPr>
        <w:t>ia finansowego, raportu zarządu</w:t>
      </w:r>
      <w:r w:rsidR="00AA5DD2">
        <w:rPr>
          <w:rFonts w:ascii="Times New Roman" w:hAnsi="Times New Roman" w:cs="Times New Roman"/>
          <w:sz w:val="24"/>
          <w:szCs w:val="24"/>
        </w:rPr>
        <w:t xml:space="preserve"> o pozostałych kwestiach</w:t>
      </w:r>
      <w:r w:rsidR="009F62A4">
        <w:rPr>
          <w:rFonts w:ascii="Times New Roman" w:hAnsi="Times New Roman" w:cs="Times New Roman"/>
          <w:sz w:val="24"/>
          <w:szCs w:val="24"/>
        </w:rPr>
        <w:t xml:space="preserve">, tak jak </w:t>
      </w:r>
      <w:r w:rsidR="004C1B6D">
        <w:rPr>
          <w:rFonts w:ascii="Times New Roman" w:hAnsi="Times New Roman" w:cs="Times New Roman"/>
          <w:sz w:val="24"/>
          <w:szCs w:val="24"/>
        </w:rPr>
        <w:t>przedstawiono</w:t>
      </w:r>
      <w:r w:rsidR="009F62A4">
        <w:rPr>
          <w:rFonts w:ascii="Times New Roman" w:hAnsi="Times New Roman" w:cs="Times New Roman"/>
          <w:sz w:val="24"/>
          <w:szCs w:val="24"/>
        </w:rPr>
        <w:t xml:space="preserve"> to na rysunku</w:t>
      </w:r>
      <w:r w:rsidR="00500A08">
        <w:rPr>
          <w:rFonts w:ascii="Times New Roman" w:hAnsi="Times New Roman" w:cs="Times New Roman"/>
          <w:sz w:val="24"/>
          <w:szCs w:val="24"/>
        </w:rPr>
        <w:t xml:space="preserve"> 1</w:t>
      </w:r>
      <w:r w:rsidR="009F62A4">
        <w:rPr>
          <w:rFonts w:ascii="Times New Roman" w:hAnsi="Times New Roman" w:cs="Times New Roman"/>
          <w:sz w:val="24"/>
          <w:szCs w:val="24"/>
        </w:rPr>
        <w:t>.</w:t>
      </w:r>
      <w:r w:rsidR="004C1B6D">
        <w:rPr>
          <w:rFonts w:ascii="Times New Roman" w:hAnsi="Times New Roman" w:cs="Times New Roman"/>
          <w:sz w:val="24"/>
          <w:szCs w:val="24"/>
        </w:rPr>
        <w:t xml:space="preserve"> </w:t>
      </w:r>
      <w:r w:rsidR="004C1B6D" w:rsidRPr="00077EA3">
        <w:rPr>
          <w:rFonts w:ascii="Times New Roman" w:hAnsi="Times New Roman" w:cs="Times New Roman"/>
          <w:sz w:val="24"/>
          <w:szCs w:val="24"/>
        </w:rPr>
        <w:t xml:space="preserve">Ani brytyjski Kodeks Ładu Korporacyjnego, ani Kodeks Spółek nie zawierają dokładnych wskazówek, co powinien zawierać raport strategiczny. W 2014 roku, </w:t>
      </w:r>
      <w:r w:rsidR="008A6EFB">
        <w:rPr>
          <w:rFonts w:ascii="Times New Roman" w:hAnsi="Times New Roman" w:cs="Times New Roman"/>
          <w:sz w:val="24"/>
          <w:szCs w:val="24"/>
        </w:rPr>
        <w:t>KRF</w:t>
      </w:r>
      <w:r w:rsidR="004C1B6D" w:rsidRPr="00077EA3">
        <w:rPr>
          <w:rFonts w:ascii="Times New Roman" w:hAnsi="Times New Roman" w:cs="Times New Roman"/>
          <w:sz w:val="24"/>
          <w:szCs w:val="24"/>
        </w:rPr>
        <w:t xml:space="preserve"> wydał "Wytyczne w sprawie raportu strategicznego" .</w:t>
      </w:r>
    </w:p>
    <w:p w14:paraId="20A92BAE" w14:textId="77777777" w:rsidR="00500A08" w:rsidRPr="00DB2CC7" w:rsidRDefault="00500A08" w:rsidP="009F62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C7">
        <w:rPr>
          <w:rFonts w:ascii="Times New Roman" w:hAnsi="Times New Roman" w:cs="Times New Roman"/>
          <w:b/>
          <w:sz w:val="24"/>
          <w:szCs w:val="24"/>
        </w:rPr>
        <w:t>Rysunek 1.</w:t>
      </w:r>
      <w:r w:rsidR="00DB2CC7">
        <w:rPr>
          <w:rFonts w:ascii="Times New Roman" w:hAnsi="Times New Roman" w:cs="Times New Roman"/>
          <w:b/>
          <w:sz w:val="24"/>
          <w:szCs w:val="24"/>
        </w:rPr>
        <w:t xml:space="preserve"> Struktura raportu rocznego według wytycznych KRF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2"/>
        <w:gridCol w:w="1562"/>
        <w:gridCol w:w="1635"/>
        <w:gridCol w:w="1676"/>
        <w:gridCol w:w="1593"/>
        <w:gridCol w:w="1342"/>
      </w:tblGrid>
      <w:tr w:rsidR="00500A08" w14:paraId="57CBB5B4" w14:textId="77777777" w:rsidTr="00500A08">
        <w:tc>
          <w:tcPr>
            <w:tcW w:w="1303" w:type="dxa"/>
          </w:tcPr>
          <w:p w14:paraId="14FD8576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FC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</w:p>
        </w:tc>
        <w:tc>
          <w:tcPr>
            <w:tcW w:w="7985" w:type="dxa"/>
            <w:gridSpan w:val="5"/>
          </w:tcPr>
          <w:p w14:paraId="5CF5ABC6" w14:textId="77777777" w:rsidR="00500A08" w:rsidRPr="00500A08" w:rsidRDefault="00500A08" w:rsidP="00E562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A08">
              <w:rPr>
                <w:rFonts w:ascii="Times New Roman" w:hAnsi="Times New Roman" w:cs="Times New Roman"/>
                <w:b/>
                <w:sz w:val="20"/>
                <w:szCs w:val="20"/>
              </w:rPr>
              <w:t>Raport roczny</w:t>
            </w:r>
          </w:p>
        </w:tc>
      </w:tr>
      <w:tr w:rsidR="00500A08" w14:paraId="199F2947" w14:textId="77777777" w:rsidTr="00500A08">
        <w:tc>
          <w:tcPr>
            <w:tcW w:w="1303" w:type="dxa"/>
          </w:tcPr>
          <w:p w14:paraId="3D068E03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Cel dokumentu</w:t>
            </w:r>
          </w:p>
        </w:tc>
        <w:tc>
          <w:tcPr>
            <w:tcW w:w="7985" w:type="dxa"/>
            <w:gridSpan w:val="5"/>
          </w:tcPr>
          <w:p w14:paraId="3F82D7D7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F6AFC">
              <w:rPr>
                <w:rFonts w:ascii="Times New Roman" w:hAnsi="Times New Roman" w:cs="Times New Roman"/>
                <w:sz w:val="20"/>
                <w:szCs w:val="20"/>
              </w:rPr>
              <w:t>ostarczenie akcjonariuszom istotnych informacji, które są przydatne do podejmowania decyzji o alokacji zasobów i oceny jakości sprawowania zarządu przez wyznaczone osoby (ang. directors’ stwardship)</w:t>
            </w:r>
          </w:p>
        </w:tc>
      </w:tr>
      <w:tr w:rsidR="00500A08" w14:paraId="2404DCEF" w14:textId="77777777" w:rsidTr="00500A08">
        <w:tc>
          <w:tcPr>
            <w:tcW w:w="1303" w:type="dxa"/>
          </w:tcPr>
          <w:p w14:paraId="09FF37ED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FC">
              <w:rPr>
                <w:rFonts w:ascii="Times New Roman" w:hAnsi="Times New Roman" w:cs="Times New Roman"/>
                <w:sz w:val="20"/>
                <w:szCs w:val="20"/>
              </w:rPr>
              <w:t>Części składowe</w:t>
            </w:r>
          </w:p>
        </w:tc>
        <w:tc>
          <w:tcPr>
            <w:tcW w:w="1599" w:type="dxa"/>
          </w:tcPr>
          <w:p w14:paraId="1F113C3E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FC">
              <w:rPr>
                <w:rFonts w:ascii="Times New Roman" w:hAnsi="Times New Roman" w:cs="Times New Roman"/>
                <w:sz w:val="20"/>
                <w:szCs w:val="20"/>
              </w:rPr>
              <w:t>Raport strategiczny</w:t>
            </w:r>
          </w:p>
        </w:tc>
        <w:tc>
          <w:tcPr>
            <w:tcW w:w="1669" w:type="dxa"/>
          </w:tcPr>
          <w:p w14:paraId="7340D263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FC">
              <w:rPr>
                <w:rFonts w:ascii="Times New Roman" w:hAnsi="Times New Roman" w:cs="Times New Roman"/>
                <w:sz w:val="20"/>
                <w:szCs w:val="20"/>
              </w:rPr>
              <w:t>Raport coroprate governance</w:t>
            </w:r>
          </w:p>
        </w:tc>
        <w:tc>
          <w:tcPr>
            <w:tcW w:w="1708" w:type="dxa"/>
          </w:tcPr>
          <w:p w14:paraId="18D42531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F6AFC">
              <w:rPr>
                <w:rFonts w:ascii="Times New Roman" w:hAnsi="Times New Roman" w:cs="Times New Roman"/>
                <w:sz w:val="20"/>
                <w:szCs w:val="20"/>
              </w:rPr>
              <w:t>aport o wynagrodzeniach członków zarządu i rady nadzorczej</w:t>
            </w:r>
          </w:p>
        </w:tc>
        <w:tc>
          <w:tcPr>
            <w:tcW w:w="1628" w:type="dxa"/>
          </w:tcPr>
          <w:p w14:paraId="1DA37AC8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Sprawozdanie finansowe</w:t>
            </w:r>
          </w:p>
        </w:tc>
        <w:tc>
          <w:tcPr>
            <w:tcW w:w="1381" w:type="dxa"/>
          </w:tcPr>
          <w:p w14:paraId="23AA040E" w14:textId="77777777" w:rsidR="00500A08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F26CB">
              <w:rPr>
                <w:rFonts w:ascii="Times New Roman" w:hAnsi="Times New Roman" w:cs="Times New Roman"/>
                <w:sz w:val="20"/>
                <w:szCs w:val="20"/>
              </w:rPr>
              <w:t>aport zarządu o pozostałych kwestiach</w:t>
            </w:r>
          </w:p>
          <w:p w14:paraId="4C6A45CE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(ang. Director’s Report)</w:t>
            </w:r>
          </w:p>
        </w:tc>
      </w:tr>
      <w:tr w:rsidR="00500A08" w14:paraId="6BAA31B2" w14:textId="77777777" w:rsidTr="00500A08">
        <w:tc>
          <w:tcPr>
            <w:tcW w:w="1303" w:type="dxa"/>
          </w:tcPr>
          <w:p w14:paraId="699C8248" w14:textId="77777777" w:rsidR="00500A08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FC">
              <w:rPr>
                <w:rFonts w:ascii="Times New Roman" w:hAnsi="Times New Roman" w:cs="Times New Roman"/>
                <w:sz w:val="20"/>
                <w:szCs w:val="20"/>
              </w:rPr>
              <w:t>Cele części</w:t>
            </w:r>
          </w:p>
          <w:p w14:paraId="343EEC9B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składowych</w:t>
            </w:r>
          </w:p>
        </w:tc>
        <w:tc>
          <w:tcPr>
            <w:tcW w:w="1599" w:type="dxa"/>
          </w:tcPr>
          <w:p w14:paraId="6D07D816" w14:textId="77777777" w:rsidR="00500A08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AFC">
              <w:rPr>
                <w:rFonts w:ascii="Times New Roman" w:hAnsi="Times New Roman" w:cs="Times New Roman"/>
                <w:sz w:val="20"/>
                <w:szCs w:val="20"/>
              </w:rPr>
              <w:t>Zapewnienie kontekstu dla sprawozdań finansowych</w:t>
            </w:r>
          </w:p>
          <w:p w14:paraId="60F9C5C4" w14:textId="77777777" w:rsidR="00500A08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Przedstawienie strategii i modelu biznesu jednostki</w:t>
            </w:r>
          </w:p>
          <w:p w14:paraId="6924E11E" w14:textId="77777777" w:rsidR="00500A08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Przedstawienie głównych ryzyk, na które narażona jest jednostka oraz sposobu, w jaki mogą one wpłynąć na przyszłe funkcjonowanie jednostki</w:t>
            </w:r>
          </w:p>
          <w:p w14:paraId="46DD31D6" w14:textId="77777777" w:rsidR="00500A08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Analiza dokonań (ang. Performance) jednostki</w:t>
            </w:r>
          </w:p>
          <w:p w14:paraId="2ECDB4D6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Wskazanie lokalizacji poszczególnych informacji</w:t>
            </w:r>
          </w:p>
        </w:tc>
        <w:tc>
          <w:tcPr>
            <w:tcW w:w="1669" w:type="dxa"/>
          </w:tcPr>
          <w:p w14:paraId="249F4445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Dostarczanie informacji umożliwiających objaśnienie w jaki sposób skład i organizacja struktur nadzoru korporacyjnego wspiera osiągnięcie celów jednostki</w:t>
            </w:r>
          </w:p>
        </w:tc>
        <w:tc>
          <w:tcPr>
            <w:tcW w:w="1708" w:type="dxa"/>
          </w:tcPr>
          <w:p w14:paraId="0D0ACC55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Przedstawienie wszystkich elementów polityki ustalania wynagrodzeń członków zarządu i rady nadzorczej oraz kluczowych czynników, które zostały uwzględnione przy ustalaniu tej polityki</w:t>
            </w:r>
          </w:p>
        </w:tc>
        <w:tc>
          <w:tcPr>
            <w:tcW w:w="1628" w:type="dxa"/>
          </w:tcPr>
          <w:p w14:paraId="724D945F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Przedstawienie sytuacji finansowej jednostki i jej zmian zgodnie z obowiązującymi standardami rachunkowości</w:t>
            </w:r>
          </w:p>
        </w:tc>
        <w:tc>
          <w:tcPr>
            <w:tcW w:w="1381" w:type="dxa"/>
          </w:tcPr>
          <w:p w14:paraId="2541E2E5" w14:textId="77777777" w:rsidR="00500A08" w:rsidRPr="00DF6AFC" w:rsidRDefault="00500A08" w:rsidP="00E5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Dostarczenie innych </w:t>
            </w:r>
            <w:r w:rsidR="00B445A4">
              <w:rPr>
                <w:rFonts w:ascii="Times New Roman" w:hAnsi="Times New Roman" w:cs="Times New Roman"/>
                <w:sz w:val="20"/>
                <w:szCs w:val="20"/>
              </w:rPr>
              <w:t>wymaganych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prawem, standardami lub dobrymi praktykami informacji o spółce</w:t>
            </w:r>
          </w:p>
        </w:tc>
      </w:tr>
    </w:tbl>
    <w:p w14:paraId="7B4176F1" w14:textId="77777777" w:rsidR="000B365F" w:rsidRDefault="00985A36" w:rsidP="00AB4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A08">
        <w:rPr>
          <w:rFonts w:ascii="Times New Roman" w:hAnsi="Times New Roman" w:cs="Times New Roman"/>
          <w:sz w:val="24"/>
          <w:szCs w:val="24"/>
        </w:rPr>
        <w:t>Źródło: Guidance on Strategic Report (2014), s. 10</w:t>
      </w:r>
    </w:p>
    <w:p w14:paraId="197CF05E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Raport strategiczny powinien zgodnie z wspomnianymi wytycznymi prezentować szereg zróżnicowanych informacji pozwalających zrozumieć bieżące i przyszłe funkcjonowanie jednostki oraz kontekst sprawozdań finansowych. Raport strategiczny powinien zawierać informacje o modelu biznesowym i strategii jednostki. Należy umieścić w nim analizy: przeszłych dokonań jednostki oraz głównych czynników ryzyka oraz sposób w jaki mogą one wpłynąć na perspektywy rozwoju podmiotu. Raport strategiczny powinien wreszcie służyć jako drogowskaz pozwalający odnaleźć istotne informacje w pozostałych częściach raportu rocznego.</w:t>
      </w:r>
      <w:r w:rsidR="0046579D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Głównymi zagadnieniami prezentowanymi  w raporcie strategicznym są trzy podstawowe obszary ujawnień:</w:t>
      </w:r>
    </w:p>
    <w:p w14:paraId="691E0084" w14:textId="77777777" w:rsidR="00077EA3" w:rsidRPr="00077EA3" w:rsidRDefault="00077EA3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1. zarządzanie strategiczne – w jaki sposób jednostka zamierza generować i zachowywać wartość,</w:t>
      </w:r>
    </w:p>
    <w:p w14:paraId="3F06B4E6" w14:textId="77777777" w:rsidR="00077EA3" w:rsidRPr="00077EA3" w:rsidRDefault="00077EA3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lastRenderedPageBreak/>
        <w:t>2. otoczenie biznesu – jakie jest środowisko zewnętrzne i środowisko wewnętrzne, w którym jednostka funkcjonuje,</w:t>
      </w:r>
    </w:p>
    <w:p w14:paraId="7F56B970" w14:textId="77777777" w:rsidR="00077EA3" w:rsidRDefault="00077EA3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3. dokonania podmiotu – jakie były osiągnięcia jednostki w danym okresie i jej sytuacja na koniec okresu.</w:t>
      </w:r>
    </w:p>
    <w:p w14:paraId="3D14EE61" w14:textId="77777777" w:rsidR="009E10B4" w:rsidRPr="00077EA3" w:rsidRDefault="009E10B4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W obszarze ujawnień dotyczącym zarządzania strategicznego ujmuje się opis strategii, celów oraz modelu biznesu. Opis modelu biznesu w raporcie strategicznym powinien umożliwić akcjonariuszom szerokie zrozumienie rodzaju relacji, zasobów i innych nakładów niezbędnych dla osiągnięcia sukcesu przez przedsiębiorstwo. Należy jednocześnie podkreślić, że przedstawienie modelu biznesu jest kluczowe dla właściwej prezentacji </w:t>
      </w:r>
    </w:p>
    <w:p w14:paraId="6709E045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Według wytycznych </w:t>
      </w:r>
      <w:r w:rsidR="008A6EFB">
        <w:rPr>
          <w:rFonts w:ascii="Times New Roman" w:hAnsi="Times New Roman" w:cs="Times New Roman"/>
          <w:sz w:val="24"/>
          <w:szCs w:val="24"/>
        </w:rPr>
        <w:t>KRF</w:t>
      </w:r>
      <w:r w:rsidRPr="00077EA3">
        <w:rPr>
          <w:rFonts w:ascii="Times New Roman" w:hAnsi="Times New Roman" w:cs="Times New Roman"/>
          <w:sz w:val="24"/>
          <w:szCs w:val="24"/>
        </w:rPr>
        <w:t xml:space="preserve"> w raporcie strategicznym należy zaprezentować najważniejsze silne strony jednostki oraz jej zasoby materialne i niematerialne (również takie zasoby niematerialne, które nie są wykazywane w bilansie podmiotu). Do ważnych aktywów niematerialnych, które mogą być istotne dla akcjonariuszy zdaniem autorów raportu należą: reputacja, marka, baza lojalnych klientów, zasoby naturalne, pracownicy, zdolności badawczo</w:t>
      </w:r>
      <w:r w:rsidR="00985A36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rozwojowe, kapitał intelektualny, licencje, patenty, prawa własności intelektualnej, znaki towarowe, pozycja rynkowa.</w:t>
      </w:r>
    </w:p>
    <w:p w14:paraId="00ED9987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Ocenę efektywności funkcjonowania modelu biznesowego jednostki oraz stopnia realizacji strategii umożliwiają kluczowe mierniki dokonań (ang. </w:t>
      </w:r>
      <w:r w:rsidRPr="001E5AE1">
        <w:rPr>
          <w:rFonts w:ascii="Times New Roman" w:hAnsi="Times New Roman" w:cs="Times New Roman"/>
          <w:i/>
          <w:sz w:val="24"/>
          <w:szCs w:val="24"/>
        </w:rPr>
        <w:t>Key Performance Indicators</w:t>
      </w:r>
      <w:r w:rsidRPr="00077EA3">
        <w:rPr>
          <w:rFonts w:ascii="Times New Roman" w:hAnsi="Times New Roman" w:cs="Times New Roman"/>
          <w:sz w:val="24"/>
          <w:szCs w:val="24"/>
        </w:rPr>
        <w:t xml:space="preserve"> – KPI) . Mierniki zawarte w raporcie strategicznym powinny być tymi, które zarządzający uważają za szczególnie efektywne w ocenie postępu realizacji strategii, monitorowaniu podstawowych rodzajów ryzyka lub zmiany sytuacji jednostki. Wskazanym jest, żeby mierniki były powszechnie stosowane w branży – umożliwia to ich porównywanie między podmiotami, co w znacznym stopniu wpływa na ich użyteczność. Opis mierników  zawartych w raporcie strategicznym powinien zawierać:</w:t>
      </w:r>
      <w:r w:rsidR="008A6EFB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definicję i sposób obliczania,</w:t>
      </w:r>
      <w:r w:rsidR="008A6EFB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cel,</w:t>
      </w:r>
      <w:r w:rsidR="008A6EFB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źródła danych wykorzystywanych do obliczania mierników,</w:t>
      </w:r>
      <w:r w:rsidR="008A6EFB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wszelkie ważne złożenia przyjęte przy obliczaniu mierników,</w:t>
      </w:r>
      <w:r w:rsidR="008A6EFB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zmiany w sposobach obliczania w porównaniu do poprzednich lat, w tym zmiany w polityce rachunkowości wpływające na sprawozdania finansowe i obliczane na ich podstawie mierniki.</w:t>
      </w:r>
    </w:p>
    <w:p w14:paraId="36277715" w14:textId="77777777" w:rsidR="009E10B4" w:rsidRPr="00077EA3" w:rsidRDefault="009E10B4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Zgodnie z zaleceniami </w:t>
      </w:r>
      <w:r w:rsidR="008A6EFB">
        <w:rPr>
          <w:rFonts w:ascii="Times New Roman" w:hAnsi="Times New Roman" w:cs="Times New Roman"/>
          <w:sz w:val="24"/>
          <w:szCs w:val="24"/>
        </w:rPr>
        <w:t>KRF</w:t>
      </w:r>
      <w:r w:rsidRPr="00077EA3">
        <w:rPr>
          <w:rFonts w:ascii="Times New Roman" w:hAnsi="Times New Roman" w:cs="Times New Roman"/>
          <w:sz w:val="24"/>
          <w:szCs w:val="24"/>
        </w:rPr>
        <w:t xml:space="preserve"> częścią raportu strategicznego jest prezentacja oddziaływania społecznego, charakteryzująca, w jaki sposób  jednostka zamierza naprawić negatywne oddziaływanie na środowisko naturalne i społeczne lub w jaki sposób przyczyniła się do jego poprawy. Raport strategiczny powinien również przedstawiać strukturę zatrudnionych według płci na koniec roku obrotowego, z uwzględnieniem: osób będących członkami zarządu i rady nadzorczej, pracowników będących menedżerami wyższego szczebla, pracowników ogółem.</w:t>
      </w:r>
    </w:p>
    <w:p w14:paraId="23102C76" w14:textId="77777777" w:rsidR="009E10B4" w:rsidRPr="00077EA3" w:rsidRDefault="009E10B4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lastRenderedPageBreak/>
        <w:t xml:space="preserve">Podsumowując, na postawie analizy wytycznych </w:t>
      </w:r>
      <w:r w:rsidR="008A6EFB">
        <w:rPr>
          <w:rFonts w:ascii="Times New Roman" w:hAnsi="Times New Roman" w:cs="Times New Roman"/>
          <w:sz w:val="24"/>
          <w:szCs w:val="24"/>
        </w:rPr>
        <w:t>KRF</w:t>
      </w:r>
      <w:r w:rsidRPr="00077EA3">
        <w:rPr>
          <w:rFonts w:ascii="Times New Roman" w:hAnsi="Times New Roman" w:cs="Times New Roman"/>
          <w:sz w:val="24"/>
          <w:szCs w:val="24"/>
        </w:rPr>
        <w:t xml:space="preserve"> można uznać  raport strategiczny za potencjalnie cenne źródło informacji dla inwestorów, w tym dla inwestorów stosujących strategie integracji ESG i zaangażowania.</w:t>
      </w:r>
    </w:p>
    <w:p w14:paraId="3E8662EA" w14:textId="77777777" w:rsidR="004C1B6D" w:rsidRDefault="004C1B6D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punktu widzenia inwestorów instytucjonalnych stosujących strategie inwestowania społecznie odpowiedzialnego szczególnie użyteczne są mierniki niefinansowe pozwalające ocenić wpływ przedsiębiorstw na społeczeństwo i środowisko. </w:t>
      </w:r>
    </w:p>
    <w:p w14:paraId="448D7FC0" w14:textId="77777777" w:rsidR="004C1B6D" w:rsidRDefault="004C1B6D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Użyteczną z punktu widzenia takich inwestorów </w:t>
      </w:r>
      <w:r w:rsidR="00797EB0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również informacja o modelu biznesu i o strategii. Sposób kreowania wartości </w:t>
      </w:r>
      <w:r w:rsidR="00797EB0">
        <w:rPr>
          <w:rFonts w:ascii="Times New Roman" w:hAnsi="Times New Roman" w:cs="Times New Roman"/>
          <w:sz w:val="24"/>
          <w:szCs w:val="24"/>
        </w:rPr>
        <w:t xml:space="preserve">przez spółkę </w:t>
      </w:r>
      <w:r>
        <w:rPr>
          <w:rFonts w:ascii="Times New Roman" w:hAnsi="Times New Roman" w:cs="Times New Roman"/>
          <w:sz w:val="24"/>
          <w:szCs w:val="24"/>
        </w:rPr>
        <w:t xml:space="preserve">może </w:t>
      </w:r>
      <w:r w:rsidR="00797EB0">
        <w:rPr>
          <w:rFonts w:ascii="Times New Roman" w:hAnsi="Times New Roman" w:cs="Times New Roman"/>
          <w:sz w:val="24"/>
          <w:szCs w:val="24"/>
        </w:rPr>
        <w:t>przyczyniać się do włączenia lub wyłączenia jej akcji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EB0">
        <w:rPr>
          <w:rFonts w:ascii="Times New Roman" w:hAnsi="Times New Roman" w:cs="Times New Roman"/>
          <w:sz w:val="24"/>
          <w:szCs w:val="24"/>
        </w:rPr>
        <w:t xml:space="preserve">do portfela akcji przez inwestora stosującego </w:t>
      </w:r>
      <w:r w:rsidR="00E279DA">
        <w:rPr>
          <w:rFonts w:ascii="Times New Roman" w:hAnsi="Times New Roman" w:cs="Times New Roman"/>
          <w:sz w:val="24"/>
          <w:szCs w:val="24"/>
        </w:rPr>
        <w:t>strategie inwestowania odpowiedzialnego społecznie.</w:t>
      </w:r>
      <w:r w:rsidR="00AB4B6C">
        <w:rPr>
          <w:rFonts w:ascii="Times New Roman" w:hAnsi="Times New Roman" w:cs="Times New Roman"/>
          <w:sz w:val="24"/>
          <w:szCs w:val="24"/>
        </w:rPr>
        <w:t xml:space="preserve"> Przyczyną wyłączenia z </w:t>
      </w:r>
      <w:r w:rsidR="001E5AE1">
        <w:rPr>
          <w:rFonts w:ascii="Times New Roman" w:hAnsi="Times New Roman" w:cs="Times New Roman"/>
          <w:sz w:val="24"/>
          <w:szCs w:val="24"/>
        </w:rPr>
        <w:t>portfela</w:t>
      </w:r>
      <w:r w:rsidR="00AB4B6C">
        <w:rPr>
          <w:rFonts w:ascii="Times New Roman" w:hAnsi="Times New Roman" w:cs="Times New Roman"/>
          <w:sz w:val="24"/>
          <w:szCs w:val="24"/>
        </w:rPr>
        <w:t xml:space="preserve"> inwestycyjnego może być kreowanie wartości dla akcjonariuszy w sposób szkodliwy dla społeczeństwa, na przykład uzyskiwanie jej ze sprzedaży </w:t>
      </w:r>
      <w:r w:rsidR="009668B5">
        <w:rPr>
          <w:rFonts w:ascii="Times New Roman" w:hAnsi="Times New Roman" w:cs="Times New Roman"/>
          <w:sz w:val="24"/>
          <w:szCs w:val="24"/>
        </w:rPr>
        <w:t>produktów szkodliwych dla społeczeństwa takich jak broń, alkohol, wyroby tytoniowe</w:t>
      </w:r>
      <w:r w:rsidR="00AB4B6C">
        <w:rPr>
          <w:rFonts w:ascii="Times New Roman" w:hAnsi="Times New Roman" w:cs="Times New Roman"/>
          <w:sz w:val="24"/>
          <w:szCs w:val="24"/>
        </w:rPr>
        <w:t>.</w:t>
      </w:r>
    </w:p>
    <w:p w14:paraId="036AD34D" w14:textId="77777777" w:rsidR="00AB4B6C" w:rsidRDefault="00AB4B6C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8EFB0" w14:textId="77777777" w:rsidR="00077EA3" w:rsidRPr="00E279DA" w:rsidRDefault="009E10B4" w:rsidP="00077E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9DA">
        <w:rPr>
          <w:rFonts w:ascii="Times New Roman" w:hAnsi="Times New Roman" w:cs="Times New Roman"/>
          <w:b/>
          <w:sz w:val="24"/>
          <w:szCs w:val="24"/>
        </w:rPr>
        <w:t>5</w:t>
      </w:r>
      <w:r w:rsidR="00077EA3" w:rsidRPr="00E279DA">
        <w:rPr>
          <w:rFonts w:ascii="Times New Roman" w:hAnsi="Times New Roman" w:cs="Times New Roman"/>
          <w:b/>
          <w:sz w:val="24"/>
          <w:szCs w:val="24"/>
        </w:rPr>
        <w:t>. Metodyka</w:t>
      </w:r>
      <w:r w:rsidRPr="00E279DA">
        <w:rPr>
          <w:rFonts w:ascii="Times New Roman" w:hAnsi="Times New Roman" w:cs="Times New Roman"/>
          <w:b/>
          <w:sz w:val="24"/>
          <w:szCs w:val="24"/>
        </w:rPr>
        <w:t xml:space="preserve"> i wyniki</w:t>
      </w:r>
      <w:r w:rsidR="00077EA3" w:rsidRPr="00E279DA">
        <w:rPr>
          <w:rFonts w:ascii="Times New Roman" w:hAnsi="Times New Roman" w:cs="Times New Roman"/>
          <w:b/>
          <w:sz w:val="24"/>
          <w:szCs w:val="24"/>
        </w:rPr>
        <w:t xml:space="preserve"> badania</w:t>
      </w:r>
    </w:p>
    <w:p w14:paraId="07500E0E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Badanie zrealizowane w ramach niniejszego artykułu ma charakter pilotażowo – eksploracyjny. Jako podstawową metodę badawczą przyjęto w niniejszym badaniu analizę treści (zawartości) raportów rocznych spółek notowanych na Londyńskiej Giełdzie Papierów Wartościowych. Zrealizowana analiza treści miała charakter jakościowo</w:t>
      </w:r>
      <w:r w:rsidR="000B365F">
        <w:rPr>
          <w:rFonts w:ascii="Times New Roman" w:hAnsi="Times New Roman" w:cs="Times New Roman"/>
          <w:sz w:val="24"/>
          <w:szCs w:val="24"/>
        </w:rPr>
        <w:t>-</w:t>
      </w:r>
      <w:r w:rsidRPr="00077EA3">
        <w:rPr>
          <w:rFonts w:ascii="Times New Roman" w:hAnsi="Times New Roman" w:cs="Times New Roman"/>
          <w:sz w:val="24"/>
          <w:szCs w:val="24"/>
        </w:rPr>
        <w:t xml:space="preserve">ilościowy. </w:t>
      </w:r>
    </w:p>
    <w:p w14:paraId="2537DDC5" w14:textId="77777777" w:rsidR="00D12E4F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Badaniem zostały objęte spółki notowane na Londyńskiej Giełdzie Papierów Wartościowych, których akcje wchodzą w skład indeksu FTSE</w:t>
      </w:r>
      <w:r w:rsidR="00E279DA">
        <w:rPr>
          <w:rFonts w:ascii="Times New Roman" w:hAnsi="Times New Roman" w:cs="Times New Roman"/>
          <w:sz w:val="24"/>
          <w:szCs w:val="24"/>
        </w:rPr>
        <w:t>-</w:t>
      </w:r>
      <w:r w:rsidRPr="00077EA3">
        <w:rPr>
          <w:rFonts w:ascii="Times New Roman" w:hAnsi="Times New Roman" w:cs="Times New Roman"/>
          <w:sz w:val="24"/>
          <w:szCs w:val="24"/>
        </w:rPr>
        <w:t xml:space="preserve">Techmark. Dzięki tej decyzji próba obejmuje w miarę jednorodne spółki z sektora wysokich technologii. </w:t>
      </w:r>
      <w:r w:rsidR="00D12E4F" w:rsidRPr="00077EA3">
        <w:rPr>
          <w:rFonts w:ascii="Times New Roman" w:hAnsi="Times New Roman" w:cs="Times New Roman"/>
          <w:sz w:val="24"/>
          <w:szCs w:val="24"/>
        </w:rPr>
        <w:t xml:space="preserve">Spółki wchodzące w skład indeksu FTSE-Techmark są często </w:t>
      </w:r>
      <w:r w:rsidR="00D12E4F">
        <w:rPr>
          <w:rFonts w:ascii="Times New Roman" w:hAnsi="Times New Roman" w:cs="Times New Roman"/>
          <w:sz w:val="24"/>
          <w:szCs w:val="24"/>
        </w:rPr>
        <w:t>podmioty</w:t>
      </w:r>
      <w:r w:rsidR="00D12E4F" w:rsidRPr="00077EA3">
        <w:rPr>
          <w:rFonts w:ascii="Times New Roman" w:hAnsi="Times New Roman" w:cs="Times New Roman"/>
          <w:sz w:val="24"/>
          <w:szCs w:val="24"/>
        </w:rPr>
        <w:t xml:space="preserve"> o dużym oddziaływaniu na społeczeństwo (na przykład spółki telekomunikacyjne i farmaceutyczne) oraz o dużym oddziaływaniu na środowisko (np. spółki biotechnologiczne, spółki zbrojeniowe). </w:t>
      </w:r>
    </w:p>
    <w:p w14:paraId="6B438842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W analizie treści w badaniu skoncentrowano się na aspektach liczby i rodzaju mierników zawartych w raportach strategicznych. Badanie miało tym samym służyć odpowiedzi na następujące pytania badawcze:</w:t>
      </w:r>
    </w:p>
    <w:p w14:paraId="18CF46F0" w14:textId="77777777" w:rsidR="00077EA3" w:rsidRPr="00077EA3" w:rsidRDefault="00077EA3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1. </w:t>
      </w:r>
      <w:r w:rsidR="00D12E4F">
        <w:rPr>
          <w:rFonts w:ascii="Times New Roman" w:hAnsi="Times New Roman" w:cs="Times New Roman"/>
          <w:sz w:val="24"/>
          <w:szCs w:val="24"/>
        </w:rPr>
        <w:t>Jakie</w:t>
      </w:r>
      <w:r w:rsidRPr="00077EA3">
        <w:rPr>
          <w:rFonts w:ascii="Times New Roman" w:hAnsi="Times New Roman" w:cs="Times New Roman"/>
          <w:sz w:val="24"/>
          <w:szCs w:val="24"/>
        </w:rPr>
        <w:t xml:space="preserve"> kluczowe mierniki dokonań są zawarte w raporcie strategicznym?</w:t>
      </w:r>
    </w:p>
    <w:p w14:paraId="62E11B82" w14:textId="77777777" w:rsidR="00077EA3" w:rsidRPr="00077EA3" w:rsidRDefault="00077EA3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2. Jaki jest udział </w:t>
      </w:r>
      <w:r w:rsidR="00D12E4F">
        <w:rPr>
          <w:rFonts w:ascii="Times New Roman" w:hAnsi="Times New Roman" w:cs="Times New Roman"/>
          <w:sz w:val="24"/>
          <w:szCs w:val="24"/>
        </w:rPr>
        <w:t xml:space="preserve">kluczowych </w:t>
      </w:r>
      <w:r w:rsidRPr="00077EA3">
        <w:rPr>
          <w:rFonts w:ascii="Times New Roman" w:hAnsi="Times New Roman" w:cs="Times New Roman"/>
          <w:sz w:val="24"/>
          <w:szCs w:val="24"/>
        </w:rPr>
        <w:t>mierników finansowych i niefinansowych w raportach strategicznych?</w:t>
      </w:r>
    </w:p>
    <w:p w14:paraId="70E93E83" w14:textId="77777777" w:rsidR="00077EA3" w:rsidRPr="00077EA3" w:rsidRDefault="00077EA3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3. </w:t>
      </w:r>
      <w:r w:rsidR="00D12E4F">
        <w:rPr>
          <w:rFonts w:ascii="Times New Roman" w:hAnsi="Times New Roman" w:cs="Times New Roman"/>
          <w:sz w:val="24"/>
          <w:szCs w:val="24"/>
        </w:rPr>
        <w:t xml:space="preserve">Jakie mierniki finansowe i niefinansowe są </w:t>
      </w:r>
      <w:r w:rsidR="00C034BC">
        <w:rPr>
          <w:rFonts w:ascii="Times New Roman" w:hAnsi="Times New Roman" w:cs="Times New Roman"/>
          <w:sz w:val="24"/>
          <w:szCs w:val="24"/>
        </w:rPr>
        <w:t xml:space="preserve">zawarte w części raportu strategicznego społecznej </w:t>
      </w:r>
      <w:r w:rsidR="00AB4B6C">
        <w:rPr>
          <w:rFonts w:ascii="Times New Roman" w:hAnsi="Times New Roman" w:cs="Times New Roman"/>
          <w:sz w:val="24"/>
          <w:szCs w:val="24"/>
        </w:rPr>
        <w:t>odpowiedzialności?</w:t>
      </w:r>
      <w:r w:rsidR="00C03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02432" w14:textId="77777777" w:rsidR="00077EA3" w:rsidRPr="00077EA3" w:rsidRDefault="00077EA3" w:rsidP="00077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lastRenderedPageBreak/>
        <w:t xml:space="preserve">4. W jakim stopniu mierniki zawarte w raportach strategicznych pozwalają na ocenę </w:t>
      </w:r>
      <w:r w:rsidR="00D12E4F">
        <w:rPr>
          <w:rFonts w:ascii="Times New Roman" w:hAnsi="Times New Roman" w:cs="Times New Roman"/>
          <w:sz w:val="24"/>
          <w:szCs w:val="24"/>
        </w:rPr>
        <w:t xml:space="preserve">przez inwestorów społecznie odpowiedzialnych </w:t>
      </w:r>
      <w:r w:rsidR="00797EB0">
        <w:rPr>
          <w:rFonts w:ascii="Times New Roman" w:hAnsi="Times New Roman" w:cs="Times New Roman"/>
          <w:sz w:val="24"/>
          <w:szCs w:val="24"/>
        </w:rPr>
        <w:t xml:space="preserve">stopnia </w:t>
      </w:r>
      <w:r w:rsidR="00D12E4F">
        <w:rPr>
          <w:rFonts w:ascii="Times New Roman" w:hAnsi="Times New Roman" w:cs="Times New Roman"/>
          <w:sz w:val="24"/>
          <w:szCs w:val="24"/>
        </w:rPr>
        <w:t>ich</w:t>
      </w:r>
      <w:r w:rsidR="00797EB0">
        <w:rPr>
          <w:rFonts w:ascii="Times New Roman" w:hAnsi="Times New Roman" w:cs="Times New Roman"/>
          <w:sz w:val="24"/>
          <w:szCs w:val="24"/>
        </w:rPr>
        <w:t xml:space="preserve"> oddziaływania</w:t>
      </w:r>
      <w:r w:rsidR="00D12E4F">
        <w:rPr>
          <w:rFonts w:ascii="Times New Roman" w:hAnsi="Times New Roman" w:cs="Times New Roman"/>
          <w:sz w:val="24"/>
          <w:szCs w:val="24"/>
        </w:rPr>
        <w:t xml:space="preserve"> na społeczeństwo i środowisk</w:t>
      </w:r>
      <w:r w:rsidR="00C034BC">
        <w:rPr>
          <w:rFonts w:ascii="Times New Roman" w:hAnsi="Times New Roman" w:cs="Times New Roman"/>
          <w:sz w:val="24"/>
          <w:szCs w:val="24"/>
        </w:rPr>
        <w:t>o</w:t>
      </w:r>
      <w:r w:rsidRPr="00077EA3">
        <w:rPr>
          <w:rFonts w:ascii="Times New Roman" w:hAnsi="Times New Roman" w:cs="Times New Roman"/>
          <w:sz w:val="24"/>
          <w:szCs w:val="24"/>
        </w:rPr>
        <w:t>?</w:t>
      </w:r>
    </w:p>
    <w:p w14:paraId="69496EB3" w14:textId="77777777" w:rsidR="00077EA3" w:rsidRPr="00E2504B" w:rsidRDefault="00077EA3" w:rsidP="0046579D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Indeks FTSE</w:t>
      </w:r>
      <w:r w:rsidR="00C034BC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 xml:space="preserve">Techmark obejmuje 60 spółek z sektora </w:t>
      </w:r>
      <w:r w:rsidR="00E2504B">
        <w:rPr>
          <w:rFonts w:ascii="Times New Roman" w:hAnsi="Times New Roman" w:cs="Times New Roman"/>
          <w:sz w:val="24"/>
          <w:szCs w:val="24"/>
        </w:rPr>
        <w:t>wysokich technologii</w:t>
      </w:r>
      <w:r w:rsidRPr="00077EA3">
        <w:rPr>
          <w:rFonts w:ascii="Times New Roman" w:hAnsi="Times New Roman" w:cs="Times New Roman"/>
          <w:sz w:val="24"/>
          <w:szCs w:val="24"/>
        </w:rPr>
        <w:t xml:space="preserve">. W badaniu zostały </w:t>
      </w:r>
      <w:r w:rsidRPr="00E2504B">
        <w:rPr>
          <w:rFonts w:ascii="Times New Roman" w:hAnsi="Times New Roman" w:cs="Times New Roman"/>
          <w:sz w:val="24"/>
          <w:szCs w:val="24"/>
        </w:rPr>
        <w:t xml:space="preserve">uwzględnione raporty roczne za 2013 rok. W badaniu uwzględniono </w:t>
      </w:r>
      <w:r w:rsidR="00E2504B" w:rsidRPr="00E2504B">
        <w:rPr>
          <w:rFonts w:ascii="Times New Roman" w:hAnsi="Times New Roman" w:cs="Times New Roman"/>
          <w:sz w:val="24"/>
          <w:szCs w:val="24"/>
        </w:rPr>
        <w:t>m</w:t>
      </w:r>
      <w:r w:rsidRPr="00E2504B">
        <w:rPr>
          <w:rFonts w:ascii="Times New Roman" w:hAnsi="Times New Roman" w:cs="Times New Roman"/>
          <w:sz w:val="24"/>
          <w:szCs w:val="24"/>
        </w:rPr>
        <w:t>ierniki określone jako kluczowe mierniki dokonań</w:t>
      </w:r>
      <w:r w:rsidR="00AB4B6C" w:rsidRPr="00E2504B">
        <w:rPr>
          <w:rFonts w:ascii="Times New Roman" w:hAnsi="Times New Roman" w:cs="Times New Roman"/>
          <w:sz w:val="24"/>
          <w:szCs w:val="24"/>
        </w:rPr>
        <w:t xml:space="preserve"> (ang. </w:t>
      </w:r>
      <w:r w:rsidR="00AB4B6C" w:rsidRPr="00E2504B">
        <w:rPr>
          <w:rFonts w:ascii="Times New Roman" w:hAnsi="Times New Roman" w:cs="Times New Roman"/>
          <w:i/>
          <w:sz w:val="24"/>
          <w:szCs w:val="24"/>
        </w:rPr>
        <w:t>key performance indicators</w:t>
      </w:r>
      <w:r w:rsidR="00AB4B6C" w:rsidRPr="00E2504B">
        <w:rPr>
          <w:rFonts w:ascii="Times New Roman" w:hAnsi="Times New Roman" w:cs="Times New Roman"/>
          <w:sz w:val="24"/>
          <w:szCs w:val="24"/>
        </w:rPr>
        <w:t>)</w:t>
      </w:r>
      <w:r w:rsidRPr="00E2504B">
        <w:rPr>
          <w:rFonts w:ascii="Times New Roman" w:hAnsi="Times New Roman" w:cs="Times New Roman"/>
          <w:sz w:val="24"/>
          <w:szCs w:val="24"/>
        </w:rPr>
        <w:t xml:space="preserve">, a </w:t>
      </w:r>
      <w:r w:rsidR="00D12E4F" w:rsidRPr="00E2504B">
        <w:rPr>
          <w:rFonts w:ascii="Times New Roman" w:hAnsi="Times New Roman" w:cs="Times New Roman"/>
          <w:sz w:val="24"/>
          <w:szCs w:val="24"/>
        </w:rPr>
        <w:t>także</w:t>
      </w:r>
      <w:r w:rsidRPr="00E2504B">
        <w:rPr>
          <w:rFonts w:ascii="Times New Roman" w:hAnsi="Times New Roman" w:cs="Times New Roman"/>
          <w:sz w:val="24"/>
          <w:szCs w:val="24"/>
        </w:rPr>
        <w:t xml:space="preserve"> </w:t>
      </w:r>
      <w:r w:rsidR="00E2504B" w:rsidRPr="00E2504B">
        <w:rPr>
          <w:rFonts w:ascii="Times New Roman" w:hAnsi="Times New Roman" w:cs="Times New Roman"/>
          <w:sz w:val="24"/>
          <w:szCs w:val="24"/>
        </w:rPr>
        <w:t xml:space="preserve">wskaźniki </w:t>
      </w:r>
      <w:r w:rsidRPr="00E2504B">
        <w:rPr>
          <w:rFonts w:ascii="Times New Roman" w:hAnsi="Times New Roman" w:cs="Times New Roman"/>
          <w:sz w:val="24"/>
          <w:szCs w:val="24"/>
        </w:rPr>
        <w:t xml:space="preserve"> </w:t>
      </w:r>
      <w:r w:rsidR="00AB4B6C" w:rsidRPr="00E2504B">
        <w:rPr>
          <w:rFonts w:ascii="Times New Roman" w:hAnsi="Times New Roman" w:cs="Times New Roman"/>
          <w:sz w:val="24"/>
          <w:szCs w:val="24"/>
        </w:rPr>
        <w:t xml:space="preserve"> nie </w:t>
      </w:r>
      <w:r w:rsidR="00E2504B" w:rsidRPr="00E2504B">
        <w:rPr>
          <w:rFonts w:ascii="Times New Roman" w:hAnsi="Times New Roman" w:cs="Times New Roman"/>
          <w:sz w:val="24"/>
          <w:szCs w:val="24"/>
        </w:rPr>
        <w:t>określone jako strategiczne i publikowane w części poświęconej oddziaływani</w:t>
      </w:r>
      <w:r w:rsidR="009668B5">
        <w:rPr>
          <w:rFonts w:ascii="Times New Roman" w:hAnsi="Times New Roman" w:cs="Times New Roman"/>
          <w:sz w:val="24"/>
          <w:szCs w:val="24"/>
        </w:rPr>
        <w:t>u na społeczeństwo i środowisko</w:t>
      </w:r>
      <w:r w:rsidRPr="00E2504B">
        <w:rPr>
          <w:rFonts w:ascii="Times New Roman" w:hAnsi="Times New Roman" w:cs="Times New Roman"/>
          <w:sz w:val="24"/>
          <w:szCs w:val="24"/>
        </w:rPr>
        <w:t>.</w:t>
      </w:r>
    </w:p>
    <w:p w14:paraId="4128AF61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504B">
        <w:rPr>
          <w:rFonts w:ascii="Times New Roman" w:hAnsi="Times New Roman" w:cs="Times New Roman"/>
          <w:sz w:val="24"/>
          <w:szCs w:val="24"/>
        </w:rPr>
        <w:t>Wszystkie badane przedsiębiorstwa</w:t>
      </w:r>
      <w:r w:rsidRPr="00077EA3">
        <w:rPr>
          <w:rFonts w:ascii="Times New Roman" w:hAnsi="Times New Roman" w:cs="Times New Roman"/>
          <w:sz w:val="24"/>
          <w:szCs w:val="24"/>
        </w:rPr>
        <w:t xml:space="preserve"> postąpiły zgodnie z wytycznymi </w:t>
      </w:r>
      <w:r w:rsidR="008A6EFB">
        <w:rPr>
          <w:rFonts w:ascii="Times New Roman" w:hAnsi="Times New Roman" w:cs="Times New Roman"/>
          <w:sz w:val="24"/>
          <w:szCs w:val="24"/>
        </w:rPr>
        <w:t>KRF</w:t>
      </w:r>
      <w:r w:rsidRPr="00077EA3">
        <w:rPr>
          <w:rFonts w:ascii="Times New Roman" w:hAnsi="Times New Roman" w:cs="Times New Roman"/>
          <w:sz w:val="24"/>
          <w:szCs w:val="24"/>
        </w:rPr>
        <w:t xml:space="preserve"> i ujęły w raportach strategicznych kluczowe mierniki dokonań (KPI). Zróżnicowana była liczba mierników prezentowanych w raportach strategicznych. Wahała się on</w:t>
      </w:r>
      <w:r w:rsidR="009668B5">
        <w:rPr>
          <w:rFonts w:ascii="Times New Roman" w:hAnsi="Times New Roman" w:cs="Times New Roman"/>
          <w:sz w:val="24"/>
          <w:szCs w:val="24"/>
        </w:rPr>
        <w:t>a</w:t>
      </w:r>
      <w:r w:rsidRPr="00077EA3">
        <w:rPr>
          <w:rFonts w:ascii="Times New Roman" w:hAnsi="Times New Roman" w:cs="Times New Roman"/>
          <w:sz w:val="24"/>
          <w:szCs w:val="24"/>
        </w:rPr>
        <w:t xml:space="preserve"> od 4 w przypadku spółki Vectura do 19 w przypadku spółki Astra Zeneca. Średnia liczba kluczowych mierników dokonań wynosiła 8, a dominantą było 6 mierników. Wyraźnie częściej stosowane były mierniki finansowe (średnia liczba 6) niż mierniki niefinansowe (średnia liczba 2). Co więcej, aż 19 spółek (32% badanych podmiotów) zastosowała w raportach strategicznych do oceny stopnia wdrożenia strategii i efektywności funkcjonowania modelu biznesu wyłącznie wskaźniki finansowe.</w:t>
      </w:r>
    </w:p>
    <w:p w14:paraId="50DCFAB9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Najczęściej ujawnianym w raportach strategicznych miernikiem dokonań była całkowita wartość przychodów – zawarta w raportach 57% badanych spółek. Informacja o przychodach była ponadto przedstawiana jako kluczowych miernikach dokonań w przekroju najważniejszych z punktu widzenia realizacji strategii:</w:t>
      </w:r>
    </w:p>
    <w:p w14:paraId="488B66EB" w14:textId="77777777" w:rsidR="00077EA3" w:rsidRPr="00077EA3" w:rsidRDefault="00AB4B6C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77EA3" w:rsidRPr="00077EA3">
        <w:rPr>
          <w:rFonts w:ascii="Times New Roman" w:hAnsi="Times New Roman" w:cs="Times New Roman"/>
          <w:sz w:val="24"/>
          <w:szCs w:val="24"/>
        </w:rPr>
        <w:t>rodzajów/segmentów działalności, np. przychody z działalności rozwojowej prowadzonej dla klientów, przychody ze sprzedaży danych,</w:t>
      </w:r>
    </w:p>
    <w:p w14:paraId="26F82BCD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2)</w:t>
      </w:r>
      <w:r w:rsidR="00AB4B6C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rynków, np. rynków wschodzących, rynków na których działalność firmy nie jest zagrożona ze względów prawnych,</w:t>
      </w:r>
    </w:p>
    <w:p w14:paraId="19B51691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3)</w:t>
      </w:r>
      <w:r w:rsidR="00AB4B6C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>grup produktów, np. nowych produktów, produktów przyjaznych dla środowiska (ang. green products).</w:t>
      </w:r>
    </w:p>
    <w:p w14:paraId="532F69E7" w14:textId="77777777" w:rsidR="00077EA3" w:rsidRPr="00077EA3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Innymi często prezentowanymi w raportach strategicznych miernikami finansowymi były: zysk na akcję – EPS (40%) , zysk operacyjny (33%), dynamika sprzedaży (25%), EBITDA (23%), wydatki na badania i rozwój (20%), wskaźnik konwersji gotówki (20%), marża zysku operacyjnego  (18%), zysk brutto (17%), przepływy pieniężne z działalności operacyjnej (15%), dywidenda na akcję (13%), środki pieniężne netto (12%), organiczny wzrost przychodów (12%),  wartość portfela zamówień (8%), przepływy pieniężne netto (8%), stopa zwrotu z zaangażowanego kapitału (8%).</w:t>
      </w:r>
      <w:r w:rsidR="00AB4B6C">
        <w:rPr>
          <w:rFonts w:ascii="Times New Roman" w:hAnsi="Times New Roman" w:cs="Times New Roman"/>
          <w:sz w:val="24"/>
          <w:szCs w:val="24"/>
        </w:rPr>
        <w:t xml:space="preserve"> </w:t>
      </w:r>
      <w:r w:rsidRPr="00077EA3">
        <w:rPr>
          <w:rFonts w:ascii="Times New Roman" w:hAnsi="Times New Roman" w:cs="Times New Roman"/>
          <w:sz w:val="24"/>
          <w:szCs w:val="24"/>
        </w:rPr>
        <w:t xml:space="preserve">Niektóre spółki ujęły w swoich raportach </w:t>
      </w:r>
      <w:r w:rsidRPr="00077EA3">
        <w:rPr>
          <w:rFonts w:ascii="Times New Roman" w:hAnsi="Times New Roman" w:cs="Times New Roman"/>
          <w:sz w:val="24"/>
          <w:szCs w:val="24"/>
        </w:rPr>
        <w:lastRenderedPageBreak/>
        <w:t>strategicznych wskaźniki specyficzne dla ich sektora np. MCEV, IGD, lub specyficzne dla ich modelu biznesu np. zysk operacyjny przypadaj</w:t>
      </w:r>
      <w:r w:rsidR="00E2504B">
        <w:rPr>
          <w:rFonts w:ascii="Times New Roman" w:hAnsi="Times New Roman" w:cs="Times New Roman"/>
          <w:sz w:val="24"/>
          <w:szCs w:val="24"/>
        </w:rPr>
        <w:t>ący na rynkowy ekwiwalent świni</w:t>
      </w:r>
      <w:r w:rsidRPr="00077EA3">
        <w:rPr>
          <w:rFonts w:ascii="Times New Roman" w:hAnsi="Times New Roman" w:cs="Times New Roman"/>
          <w:sz w:val="24"/>
          <w:szCs w:val="24"/>
        </w:rPr>
        <w:t>.</w:t>
      </w:r>
    </w:p>
    <w:p w14:paraId="5CFEA9B8" w14:textId="77777777" w:rsidR="00E2504B" w:rsidRDefault="00077EA3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Wskaźniki niefinansowe prezentowane w raportach strategicznych badanych spółek cechowały się jeszcze większym zróżnicowaniem. Jedynie niewiele z nich występowało w kilku raportach. Do tych relatywnie często występujących należały liczba pracowników (10%), liczba wypadków (10%), wskaźnik rotacji pracowników (8%), poziom emisji CO</w:t>
      </w:r>
      <w:r w:rsidRPr="009668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EA3">
        <w:rPr>
          <w:rFonts w:ascii="Times New Roman" w:hAnsi="Times New Roman" w:cs="Times New Roman"/>
          <w:sz w:val="24"/>
          <w:szCs w:val="24"/>
        </w:rPr>
        <w:t xml:space="preserve"> (7%), wskaźnik zaangażowania pracowników (5%), wskaźnik satysfakcji klientów (5%), czas pracy utracony na skutek wypadków (5%), liczba osiągniętych głównych celów (5%), liczba nowy produktów, NPS (ang. </w:t>
      </w:r>
      <w:r w:rsidRPr="00961542">
        <w:rPr>
          <w:rFonts w:ascii="Times New Roman" w:hAnsi="Times New Roman" w:cs="Times New Roman"/>
          <w:i/>
          <w:sz w:val="24"/>
          <w:szCs w:val="24"/>
        </w:rPr>
        <w:t>Net Promoter Score</w:t>
      </w:r>
      <w:r w:rsidRPr="00077EA3">
        <w:rPr>
          <w:rFonts w:ascii="Times New Roman" w:hAnsi="Times New Roman" w:cs="Times New Roman"/>
          <w:sz w:val="24"/>
          <w:szCs w:val="24"/>
        </w:rPr>
        <w:t xml:space="preserve">) (5%),  liczba patentów (3%), liczba przejęć (3%). Pozostałe wskaźniki były bardzo zróżnicowane i dostosowane do strategii lub modelu biznesu – np. udział architektury ARM w smartfonach, czy liczba wakatów zapełnionych na drodze wewnętrznej rekrutacji. </w:t>
      </w:r>
    </w:p>
    <w:p w14:paraId="30C1D9C7" w14:textId="77777777" w:rsidR="00077EA3" w:rsidRPr="00077EA3" w:rsidRDefault="00E2504B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77EA3" w:rsidRPr="00077EA3">
        <w:rPr>
          <w:rFonts w:ascii="Times New Roman" w:hAnsi="Times New Roman" w:cs="Times New Roman"/>
          <w:sz w:val="24"/>
          <w:szCs w:val="24"/>
        </w:rPr>
        <w:t xml:space="preserve"> części raportów strategicznych występuje większa liczba wskaźników niefinansowych, ale są one zawarte w części dotyczącej społecznej odpowiedzialności biznesu (CSR) i najczęściej odzwierciedlając ilość wyemitowanego CO2  oraz zużytej energii oraz poziomu zróżnicowania zarządów.</w:t>
      </w:r>
    </w:p>
    <w:p w14:paraId="17CC6A48" w14:textId="77777777" w:rsidR="00D12E4F" w:rsidRPr="00077EA3" w:rsidRDefault="00D12E4F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Do najczęściej ujawnianych w raportach strategicznych </w:t>
      </w:r>
      <w:r w:rsidR="00E2504B">
        <w:rPr>
          <w:rFonts w:ascii="Times New Roman" w:hAnsi="Times New Roman" w:cs="Times New Roman"/>
          <w:sz w:val="24"/>
          <w:szCs w:val="24"/>
        </w:rPr>
        <w:t xml:space="preserve">w części poświęconej </w:t>
      </w:r>
      <w:r w:rsidRPr="00077EA3">
        <w:rPr>
          <w:rFonts w:ascii="Times New Roman" w:hAnsi="Times New Roman" w:cs="Times New Roman"/>
          <w:sz w:val="24"/>
          <w:szCs w:val="24"/>
        </w:rPr>
        <w:t>danych ilościowych reprezentujących oddziaływanie społeczne  należą mierniki wpływu na środowisko, mierniki odwzorowujące bezpieczeństwo pracy oraz struktury zróżnicowania pracowników.</w:t>
      </w:r>
    </w:p>
    <w:p w14:paraId="18160E78" w14:textId="77777777" w:rsidR="00D12E4F" w:rsidRPr="00077EA3" w:rsidRDefault="00D12E4F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>Wśród mierników oddziaływania na środowisko najbardziej rozpowszechnione były ilość emitowanego CO</w:t>
      </w:r>
      <w:r w:rsidRPr="00DB2C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EA3">
        <w:rPr>
          <w:rFonts w:ascii="Times New Roman" w:hAnsi="Times New Roman" w:cs="Times New Roman"/>
          <w:sz w:val="24"/>
          <w:szCs w:val="24"/>
        </w:rPr>
        <w:t xml:space="preserve"> (zarówno bezpośrednio i pośrednio) oraz powiązane z nimi mierniki intensywności – takie jak ilość wyemitowanych ton CO</w:t>
      </w:r>
      <w:r w:rsidRPr="00DB2C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EA3">
        <w:rPr>
          <w:rFonts w:ascii="Times New Roman" w:hAnsi="Times New Roman" w:cs="Times New Roman"/>
          <w:sz w:val="24"/>
          <w:szCs w:val="24"/>
        </w:rPr>
        <w:t xml:space="preserve"> na 1 mln przychodów, na 1 pracownika, na GJ zużytej energii. Wskaźniki takie zostały zaprezentowane w ponad  56 z 60 (93%) badanych przedsiębiorstw, a w dwóch kolejnych wystąpiło odesłanie do innych dokumentów, w których takie dane są dostępne. Innymi stosunkowo często, choć znacznie rzadziej prezentowanymi w raportach strategicznych miernikami oddziaływania na środowisko były: zużycie energii, zużycie wody, ilość śmieci przekazanych na składowiska, ilość śmieci poddanych recyklingowi, ilość śmieci niebezpiecznych dla środowiska oraz % zmniejszenia zużycia zasobów (np. energii elektrycznej, powierzchni).</w:t>
      </w:r>
    </w:p>
    <w:p w14:paraId="2135E1EB" w14:textId="77777777" w:rsidR="00E2504B" w:rsidRDefault="00D12E4F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Najczęściej prezentowanymi miernikami w zakresie bezpieczeństwa i higieny pracy były: liczba wypadków, liczba wypadków w relacji do liczby pracowników lub czasu pracy, czas pracy utracony na skutek wypadów. </w:t>
      </w:r>
    </w:p>
    <w:p w14:paraId="2B28C36C" w14:textId="77777777" w:rsidR="00D12E4F" w:rsidRDefault="00D12E4F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lastRenderedPageBreak/>
        <w:t>Zróżnicowane pod względem płci zostało uwzględnione w raportach strategicznych wszystkich badanych spółek. Najczęściej spółki ujawniały zróżnicowanie na 3 poziomach: zarządu/rady nadzorczej, menedżerów wyższego szczebla oraz ogółu pracowników. W części przypadków zdarzały się ujawnienia mniej szczegółowe – np. ujawnienia tylko na temat zróżnicowania zarządu/ rady nadzorczej i ogółem. Niektóre podmioty, z kolei uwzględniały również dodatkowy czwarty poziom – zróżnicowanie na poziomie rad nadzorczych/zarządów w poszczególnych spółkach wchodzących w skład grupy podmiotów. Stosunkowo niewielka część spółek prezentowała również zróżnicowanie pracowników pod względem wieku, lokalizacji geograficznej, a nawet udział mniejszościowych grup etnicznych w liczbie zatrudnionych.</w:t>
      </w:r>
    </w:p>
    <w:p w14:paraId="55DDD1E9" w14:textId="77777777" w:rsidR="00E2504B" w:rsidRDefault="00E2504B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Interesującym trendem wśród mierników niefinansowych zamieszczanych w raportach strategicznych jest prezentacja wskaźników podwójnych korzyści (ang. </w:t>
      </w:r>
      <w:r w:rsidRPr="00DB2CC7">
        <w:rPr>
          <w:rFonts w:ascii="Times New Roman" w:hAnsi="Times New Roman" w:cs="Times New Roman"/>
          <w:i/>
          <w:sz w:val="24"/>
          <w:szCs w:val="24"/>
        </w:rPr>
        <w:t>dual benefits indices</w:t>
      </w:r>
      <w:r w:rsidRPr="00077EA3">
        <w:rPr>
          <w:rFonts w:ascii="Times New Roman" w:hAnsi="Times New Roman" w:cs="Times New Roman"/>
          <w:sz w:val="24"/>
          <w:szCs w:val="24"/>
        </w:rPr>
        <w:t>), czyli takich wskaźników niefinansowych, które są jasno powiązane ze wskaźnikami finansowymi. Przykładem takiego miernika jest dynamika zużycia energii elektrycznej. Redukcja zużycia energii elektrycznej jest dobra dla środowiska (pierwsza korzyść) i jednocześnie zmniejsza koszty i poprawia wyniki (druga korzyść).</w:t>
      </w:r>
    </w:p>
    <w:p w14:paraId="39CAC304" w14:textId="77777777" w:rsidR="00DB2CC7" w:rsidRPr="00077EA3" w:rsidRDefault="00DB2CC7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Ujawnienia o charakterze jakościowym</w:t>
      </w:r>
      <w:r w:rsidR="004D5A55">
        <w:rPr>
          <w:rFonts w:ascii="Times New Roman" w:hAnsi="Times New Roman" w:cs="Times New Roman"/>
          <w:sz w:val="24"/>
          <w:szCs w:val="24"/>
        </w:rPr>
        <w:t>, na przykład te o modelu biznesu,</w:t>
      </w:r>
      <w:r>
        <w:rPr>
          <w:rFonts w:ascii="Times New Roman" w:hAnsi="Times New Roman" w:cs="Times New Roman"/>
          <w:sz w:val="24"/>
          <w:szCs w:val="24"/>
        </w:rPr>
        <w:t xml:space="preserve"> zawarte w raportach strategicznych również stanowią potencjalnie </w:t>
      </w:r>
      <w:r w:rsidR="00A42F53">
        <w:rPr>
          <w:rFonts w:ascii="Times New Roman" w:hAnsi="Times New Roman" w:cs="Times New Roman"/>
          <w:sz w:val="24"/>
          <w:szCs w:val="24"/>
        </w:rPr>
        <w:t>użyteczne</w:t>
      </w:r>
      <w:r>
        <w:rPr>
          <w:rFonts w:ascii="Times New Roman" w:hAnsi="Times New Roman" w:cs="Times New Roman"/>
          <w:sz w:val="24"/>
          <w:szCs w:val="24"/>
        </w:rPr>
        <w:t xml:space="preserve"> źródło informacji dla </w:t>
      </w:r>
      <w:r w:rsidR="00A42F53">
        <w:rPr>
          <w:rFonts w:ascii="Times New Roman" w:hAnsi="Times New Roman" w:cs="Times New Roman"/>
          <w:sz w:val="24"/>
          <w:szCs w:val="24"/>
        </w:rPr>
        <w:t>inwestorów odpowiedzialnych społecznie</w:t>
      </w:r>
      <w:r w:rsidR="004D5A55">
        <w:rPr>
          <w:rFonts w:ascii="Times New Roman" w:hAnsi="Times New Roman" w:cs="Times New Roman"/>
          <w:sz w:val="24"/>
          <w:szCs w:val="24"/>
        </w:rPr>
        <w:t xml:space="preserve">. Społecznie odpowiedzialne </w:t>
      </w:r>
      <w:r w:rsidR="009668B5">
        <w:rPr>
          <w:rFonts w:ascii="Times New Roman" w:hAnsi="Times New Roman" w:cs="Times New Roman"/>
          <w:sz w:val="24"/>
          <w:szCs w:val="24"/>
        </w:rPr>
        <w:t>f</w:t>
      </w:r>
      <w:r w:rsidR="004D5A55">
        <w:rPr>
          <w:rFonts w:ascii="Times New Roman" w:hAnsi="Times New Roman" w:cs="Times New Roman"/>
          <w:sz w:val="24"/>
          <w:szCs w:val="24"/>
        </w:rPr>
        <w:t>undusze inwestycyjne stosujące strategię selekcji negatywnej, na podstawie informacji o modelu biznesowym spółek BAE i Meggit mogą podjąć decyzję o ich wykluczeniu z portfela inwestycyjnego</w:t>
      </w:r>
      <w:r w:rsidR="009668B5">
        <w:rPr>
          <w:rFonts w:ascii="Times New Roman" w:hAnsi="Times New Roman" w:cs="Times New Roman"/>
          <w:sz w:val="24"/>
          <w:szCs w:val="24"/>
        </w:rPr>
        <w:t>,</w:t>
      </w:r>
      <w:r w:rsidR="004D5A55">
        <w:rPr>
          <w:rFonts w:ascii="Times New Roman" w:hAnsi="Times New Roman" w:cs="Times New Roman"/>
          <w:sz w:val="24"/>
          <w:szCs w:val="24"/>
        </w:rPr>
        <w:t xml:space="preserve"> ponieważ podmioty te wytwarzają podzespoły do uzbrojenia.</w:t>
      </w:r>
    </w:p>
    <w:p w14:paraId="32A85575" w14:textId="77777777" w:rsidR="00D12E4F" w:rsidRPr="00077EA3" w:rsidRDefault="00D12E4F" w:rsidP="00E250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E33DA5" w14:textId="77777777" w:rsidR="00D12E4F" w:rsidRPr="00500A08" w:rsidRDefault="000C7899" w:rsidP="00D12E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12E4F" w:rsidRPr="00500A08">
        <w:rPr>
          <w:rFonts w:ascii="Times New Roman" w:hAnsi="Times New Roman" w:cs="Times New Roman"/>
          <w:b/>
          <w:sz w:val="24"/>
          <w:szCs w:val="24"/>
        </w:rPr>
        <w:t>Zakończenie</w:t>
      </w:r>
    </w:p>
    <w:p w14:paraId="6EC0E278" w14:textId="77777777" w:rsidR="008D0BDA" w:rsidRDefault="00D12E4F" w:rsidP="004657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EA3">
        <w:rPr>
          <w:rFonts w:ascii="Times New Roman" w:hAnsi="Times New Roman" w:cs="Times New Roman"/>
          <w:sz w:val="24"/>
          <w:szCs w:val="24"/>
        </w:rPr>
        <w:t xml:space="preserve">Wielka Brytania jest wiodącym w Europie i na świecie rynkiem inwestowania społecznie odpowiedzialnego. Najczęściej stosowanymi strategiami inwestowania społecznie odpowiedzialnego w tym kraju są zaangażowanie i integracja ESG. Na podstawie zrealizowanych badań można stwierdzić, że dla inwestorów stosujących takie strategie raport strategiczny (który od niedawna stanowi wymaganą część raportu rocznego w Wielkiej Brytanii) stanowi </w:t>
      </w:r>
      <w:r w:rsidR="00DB2CC7">
        <w:rPr>
          <w:rFonts w:ascii="Times New Roman" w:hAnsi="Times New Roman" w:cs="Times New Roman"/>
          <w:sz w:val="24"/>
          <w:szCs w:val="24"/>
        </w:rPr>
        <w:t>potencjalnie użyteczne</w:t>
      </w:r>
      <w:r w:rsidRPr="00077EA3">
        <w:rPr>
          <w:rFonts w:ascii="Times New Roman" w:hAnsi="Times New Roman" w:cs="Times New Roman"/>
          <w:sz w:val="24"/>
          <w:szCs w:val="24"/>
        </w:rPr>
        <w:t xml:space="preserve"> źródło informacji z następujących przyczyn. Po pierwsze, </w:t>
      </w:r>
      <w:r w:rsidR="00A42F53">
        <w:rPr>
          <w:rFonts w:ascii="Times New Roman" w:hAnsi="Times New Roman" w:cs="Times New Roman"/>
          <w:sz w:val="24"/>
          <w:szCs w:val="24"/>
        </w:rPr>
        <w:t>wskaźniki finansowe i niefinansowe pozwalające na odzwierciedlenie wpływu na społeczeństwo i środowisko występuje w raportach</w:t>
      </w:r>
      <w:r w:rsidRPr="00077EA3">
        <w:rPr>
          <w:rFonts w:ascii="Times New Roman" w:hAnsi="Times New Roman" w:cs="Times New Roman"/>
          <w:sz w:val="24"/>
          <w:szCs w:val="24"/>
        </w:rPr>
        <w:t xml:space="preserve"> wszystkich raportach badanych spółek. Po drugie, </w:t>
      </w:r>
      <w:r w:rsidR="008D0BDA">
        <w:rPr>
          <w:rFonts w:ascii="Times New Roman" w:hAnsi="Times New Roman" w:cs="Times New Roman"/>
          <w:sz w:val="24"/>
          <w:szCs w:val="24"/>
        </w:rPr>
        <w:t xml:space="preserve">w raportach strategicznych dominują finansowe kluczowe mierniki wyników, co świadczy o tym, że wyniki finansowe pozostają zdaniem sporządzających raporty roczne </w:t>
      </w:r>
      <w:r w:rsidR="008D0BDA">
        <w:rPr>
          <w:rFonts w:ascii="Times New Roman" w:hAnsi="Times New Roman" w:cs="Times New Roman"/>
          <w:sz w:val="24"/>
          <w:szCs w:val="24"/>
        </w:rPr>
        <w:lastRenderedPageBreak/>
        <w:t xml:space="preserve">kluczowymi informacjami dla inwestorów. Po trzecie miernikami zawartymi w raportach strategicznych </w:t>
      </w:r>
      <w:r w:rsidR="008D0BDA" w:rsidRPr="00077EA3">
        <w:rPr>
          <w:rFonts w:ascii="Times New Roman" w:hAnsi="Times New Roman" w:cs="Times New Roman"/>
          <w:sz w:val="24"/>
          <w:szCs w:val="24"/>
        </w:rPr>
        <w:t>pozwala</w:t>
      </w:r>
      <w:r w:rsidR="008D0BDA">
        <w:rPr>
          <w:rFonts w:ascii="Times New Roman" w:hAnsi="Times New Roman" w:cs="Times New Roman"/>
          <w:sz w:val="24"/>
          <w:szCs w:val="24"/>
        </w:rPr>
        <w:t>jącymi</w:t>
      </w:r>
      <w:r w:rsidR="008D0BDA" w:rsidRPr="00077EA3">
        <w:rPr>
          <w:rFonts w:ascii="Times New Roman" w:hAnsi="Times New Roman" w:cs="Times New Roman"/>
          <w:sz w:val="24"/>
          <w:szCs w:val="24"/>
        </w:rPr>
        <w:t xml:space="preserve"> na ocenę zakresu działalności spółki w zakresie </w:t>
      </w:r>
      <w:r w:rsidR="008D0BDA">
        <w:rPr>
          <w:rFonts w:ascii="Times New Roman" w:hAnsi="Times New Roman" w:cs="Times New Roman"/>
          <w:sz w:val="24"/>
          <w:szCs w:val="24"/>
        </w:rPr>
        <w:t xml:space="preserve">oddziaływania na środowisko i społeczeństwo są głównie niefinansowe </w:t>
      </w:r>
      <w:r w:rsidR="004D5A55">
        <w:rPr>
          <w:rFonts w:ascii="Times New Roman" w:hAnsi="Times New Roman" w:cs="Times New Roman"/>
          <w:sz w:val="24"/>
          <w:szCs w:val="24"/>
        </w:rPr>
        <w:t>mierniki dokonań</w:t>
      </w:r>
      <w:r w:rsidRPr="00077EA3">
        <w:rPr>
          <w:rFonts w:ascii="Times New Roman" w:hAnsi="Times New Roman" w:cs="Times New Roman"/>
          <w:sz w:val="24"/>
          <w:szCs w:val="24"/>
        </w:rPr>
        <w:t xml:space="preserve">. Po </w:t>
      </w:r>
      <w:r w:rsidR="008D0BDA">
        <w:rPr>
          <w:rFonts w:ascii="Times New Roman" w:hAnsi="Times New Roman" w:cs="Times New Roman"/>
          <w:sz w:val="24"/>
          <w:szCs w:val="24"/>
        </w:rPr>
        <w:t>czwarte</w:t>
      </w:r>
      <w:r w:rsidRPr="00077EA3">
        <w:rPr>
          <w:rFonts w:ascii="Times New Roman" w:hAnsi="Times New Roman" w:cs="Times New Roman"/>
          <w:sz w:val="24"/>
          <w:szCs w:val="24"/>
        </w:rPr>
        <w:t xml:space="preserve">, </w:t>
      </w:r>
      <w:r w:rsidR="008D0BDA">
        <w:rPr>
          <w:rFonts w:ascii="Times New Roman" w:hAnsi="Times New Roman" w:cs="Times New Roman"/>
          <w:sz w:val="24"/>
          <w:szCs w:val="24"/>
        </w:rPr>
        <w:t xml:space="preserve">najbardziej </w:t>
      </w:r>
      <w:r w:rsidRPr="00077EA3">
        <w:rPr>
          <w:rFonts w:ascii="Times New Roman" w:hAnsi="Times New Roman" w:cs="Times New Roman"/>
          <w:sz w:val="24"/>
          <w:szCs w:val="24"/>
        </w:rPr>
        <w:t>powszechn</w:t>
      </w:r>
      <w:r w:rsidR="008D0BDA">
        <w:rPr>
          <w:rFonts w:ascii="Times New Roman" w:hAnsi="Times New Roman" w:cs="Times New Roman"/>
          <w:sz w:val="24"/>
          <w:szCs w:val="24"/>
        </w:rPr>
        <w:t xml:space="preserve">ymi miernikami niefinansowymi zawartymi w raportach </w:t>
      </w:r>
      <w:r w:rsidR="007055A8">
        <w:rPr>
          <w:rFonts w:ascii="Times New Roman" w:hAnsi="Times New Roman" w:cs="Times New Roman"/>
          <w:sz w:val="24"/>
          <w:szCs w:val="24"/>
        </w:rPr>
        <w:t>strategicznych</w:t>
      </w:r>
      <w:r w:rsidRPr="00077EA3">
        <w:rPr>
          <w:rFonts w:ascii="Times New Roman" w:hAnsi="Times New Roman" w:cs="Times New Roman"/>
          <w:sz w:val="24"/>
          <w:szCs w:val="24"/>
        </w:rPr>
        <w:t xml:space="preserve"> umożliw</w:t>
      </w:r>
      <w:r w:rsidR="008D0BDA">
        <w:rPr>
          <w:rFonts w:ascii="Times New Roman" w:hAnsi="Times New Roman" w:cs="Times New Roman"/>
          <w:sz w:val="24"/>
          <w:szCs w:val="24"/>
        </w:rPr>
        <w:t>iających prowadzenie analiz ESG, są wskaźniki</w:t>
      </w:r>
      <w:r w:rsidRPr="00077EA3">
        <w:rPr>
          <w:rFonts w:ascii="Times New Roman" w:hAnsi="Times New Roman" w:cs="Times New Roman"/>
          <w:sz w:val="24"/>
          <w:szCs w:val="24"/>
        </w:rPr>
        <w:t xml:space="preserve"> takie jak emisje gazów cieplarnianych i zróżnicowanie pracowników.</w:t>
      </w:r>
      <w:r w:rsidR="008D0BDA">
        <w:rPr>
          <w:rFonts w:ascii="Times New Roman" w:hAnsi="Times New Roman" w:cs="Times New Roman"/>
          <w:sz w:val="24"/>
          <w:szCs w:val="24"/>
        </w:rPr>
        <w:t xml:space="preserve"> </w:t>
      </w:r>
      <w:r w:rsidR="008D0BDA" w:rsidRPr="00077EA3">
        <w:rPr>
          <w:rFonts w:ascii="Times New Roman" w:hAnsi="Times New Roman" w:cs="Times New Roman"/>
          <w:sz w:val="24"/>
          <w:szCs w:val="24"/>
        </w:rPr>
        <w:t>Przyczyn</w:t>
      </w:r>
      <w:r w:rsidR="008D0BDA">
        <w:rPr>
          <w:rFonts w:ascii="Times New Roman" w:hAnsi="Times New Roman" w:cs="Times New Roman"/>
          <w:sz w:val="24"/>
          <w:szCs w:val="24"/>
        </w:rPr>
        <w:t>ą</w:t>
      </w:r>
      <w:r w:rsidR="008D0BDA" w:rsidRPr="00077EA3">
        <w:rPr>
          <w:rFonts w:ascii="Times New Roman" w:hAnsi="Times New Roman" w:cs="Times New Roman"/>
          <w:sz w:val="24"/>
          <w:szCs w:val="24"/>
        </w:rPr>
        <w:t xml:space="preserve"> </w:t>
      </w:r>
      <w:r w:rsidR="008D0BDA">
        <w:rPr>
          <w:rFonts w:ascii="Times New Roman" w:hAnsi="Times New Roman" w:cs="Times New Roman"/>
          <w:sz w:val="24"/>
          <w:szCs w:val="24"/>
        </w:rPr>
        <w:t xml:space="preserve">ich częstego występowania </w:t>
      </w:r>
      <w:r w:rsidR="008D0BDA" w:rsidRPr="00077EA3">
        <w:rPr>
          <w:rFonts w:ascii="Times New Roman" w:hAnsi="Times New Roman" w:cs="Times New Roman"/>
          <w:sz w:val="24"/>
          <w:szCs w:val="24"/>
        </w:rPr>
        <w:t>jest fakt</w:t>
      </w:r>
      <w:r w:rsidR="008D0BDA">
        <w:rPr>
          <w:rFonts w:ascii="Times New Roman" w:hAnsi="Times New Roman" w:cs="Times New Roman"/>
          <w:sz w:val="24"/>
          <w:szCs w:val="24"/>
        </w:rPr>
        <w:t>,</w:t>
      </w:r>
      <w:r w:rsidR="008D0BDA" w:rsidRPr="00077EA3">
        <w:rPr>
          <w:rFonts w:ascii="Times New Roman" w:hAnsi="Times New Roman" w:cs="Times New Roman"/>
          <w:sz w:val="24"/>
          <w:szCs w:val="24"/>
        </w:rPr>
        <w:t xml:space="preserve"> iż są to informacje wymagane przez prawo w Wielkiej Brytanii.</w:t>
      </w:r>
      <w:r w:rsidRPr="00077EA3">
        <w:rPr>
          <w:rFonts w:ascii="Times New Roman" w:hAnsi="Times New Roman" w:cs="Times New Roman"/>
          <w:sz w:val="24"/>
          <w:szCs w:val="24"/>
        </w:rPr>
        <w:t xml:space="preserve"> </w:t>
      </w:r>
      <w:r w:rsidR="00A42F53">
        <w:rPr>
          <w:rFonts w:ascii="Times New Roman" w:hAnsi="Times New Roman" w:cs="Times New Roman"/>
          <w:sz w:val="24"/>
          <w:szCs w:val="24"/>
        </w:rPr>
        <w:t xml:space="preserve">Innymi przydanymi wskaźnikami niefinansowymi prezentowanymi w raportach strategicznych są  między innymi: </w:t>
      </w:r>
      <w:r w:rsidR="00A42F53" w:rsidRPr="00077EA3">
        <w:rPr>
          <w:rFonts w:ascii="Times New Roman" w:hAnsi="Times New Roman" w:cs="Times New Roman"/>
          <w:sz w:val="24"/>
          <w:szCs w:val="24"/>
        </w:rPr>
        <w:t>liczba wypadków, liczba wypadków w relacji do liczby pracowników</w:t>
      </w:r>
      <w:r w:rsidR="00327EB3">
        <w:rPr>
          <w:rFonts w:ascii="Times New Roman" w:hAnsi="Times New Roman" w:cs="Times New Roman"/>
          <w:sz w:val="24"/>
          <w:szCs w:val="24"/>
        </w:rPr>
        <w:t>, ilość odpadów czy zużytej energii</w:t>
      </w:r>
      <w:r w:rsidR="00A42F53">
        <w:rPr>
          <w:rFonts w:ascii="Times New Roman" w:hAnsi="Times New Roman" w:cs="Times New Roman"/>
          <w:sz w:val="24"/>
          <w:szCs w:val="24"/>
        </w:rPr>
        <w:t xml:space="preserve">. </w:t>
      </w:r>
      <w:r w:rsidRPr="00077EA3">
        <w:rPr>
          <w:rFonts w:ascii="Times New Roman" w:hAnsi="Times New Roman" w:cs="Times New Roman"/>
          <w:sz w:val="24"/>
          <w:szCs w:val="24"/>
        </w:rPr>
        <w:t xml:space="preserve">Istnieją </w:t>
      </w:r>
      <w:r w:rsidR="00A42F53">
        <w:rPr>
          <w:rFonts w:ascii="Times New Roman" w:hAnsi="Times New Roman" w:cs="Times New Roman"/>
          <w:sz w:val="24"/>
          <w:szCs w:val="24"/>
        </w:rPr>
        <w:t>jednakże</w:t>
      </w:r>
      <w:r w:rsidRPr="00077EA3">
        <w:rPr>
          <w:rFonts w:ascii="Times New Roman" w:hAnsi="Times New Roman" w:cs="Times New Roman"/>
          <w:sz w:val="24"/>
          <w:szCs w:val="24"/>
        </w:rPr>
        <w:t xml:space="preserve"> czynniki ograniczające przydatność raportów strategicznych dla inwestorów stosujących strategie społecznej odpowiedzialności. Są to: różny format przedstawianych danych i wykorzystanie </w:t>
      </w:r>
      <w:r w:rsidR="00A42F53">
        <w:rPr>
          <w:rFonts w:ascii="Times New Roman" w:hAnsi="Times New Roman" w:cs="Times New Roman"/>
          <w:sz w:val="24"/>
          <w:szCs w:val="24"/>
        </w:rPr>
        <w:t>odmiennych</w:t>
      </w:r>
      <w:r w:rsidRPr="00077EA3">
        <w:rPr>
          <w:rFonts w:ascii="Times New Roman" w:hAnsi="Times New Roman" w:cs="Times New Roman"/>
          <w:sz w:val="24"/>
          <w:szCs w:val="24"/>
        </w:rPr>
        <w:t xml:space="preserve"> wskaźników. Wcześniejsze badania przeprowadzone przez Duurena i Plantingę </w:t>
      </w:r>
      <w:r w:rsidR="008A6EFB">
        <w:rPr>
          <w:rFonts w:ascii="Times New Roman" w:hAnsi="Times New Roman" w:cs="Times New Roman"/>
          <w:sz w:val="24"/>
          <w:szCs w:val="24"/>
        </w:rPr>
        <w:t>(</w:t>
      </w:r>
      <w:r w:rsidRPr="00077EA3">
        <w:rPr>
          <w:rFonts w:ascii="Times New Roman" w:hAnsi="Times New Roman" w:cs="Times New Roman"/>
          <w:sz w:val="24"/>
          <w:szCs w:val="24"/>
        </w:rPr>
        <w:t>2015</w:t>
      </w:r>
      <w:r w:rsidR="008A6EFB">
        <w:rPr>
          <w:rFonts w:ascii="Times New Roman" w:hAnsi="Times New Roman" w:cs="Times New Roman"/>
          <w:sz w:val="24"/>
          <w:szCs w:val="24"/>
        </w:rPr>
        <w:t>)</w:t>
      </w:r>
      <w:r w:rsidRPr="00077EA3">
        <w:rPr>
          <w:rFonts w:ascii="Times New Roman" w:hAnsi="Times New Roman" w:cs="Times New Roman"/>
          <w:sz w:val="24"/>
          <w:szCs w:val="24"/>
        </w:rPr>
        <w:t xml:space="preserve">  wskazują, że inwestorzy stosujący strategię integracji ESG mogą w związku z tym poszukiwać informacji ze źródeł wtórnych, które są  łatwiejsze do porównań. Źródłami wtórnymi wykorzystywanymi przez inwestorów oceny agencji ratingowych ESG i raporty </w:t>
      </w:r>
      <w:r w:rsidR="00DB2CC7">
        <w:rPr>
          <w:rFonts w:ascii="Times New Roman" w:hAnsi="Times New Roman" w:cs="Times New Roman"/>
          <w:sz w:val="24"/>
          <w:szCs w:val="24"/>
        </w:rPr>
        <w:t xml:space="preserve">analityków </w:t>
      </w:r>
      <w:r w:rsidRPr="00077EA3">
        <w:rPr>
          <w:rFonts w:ascii="Times New Roman" w:hAnsi="Times New Roman" w:cs="Times New Roman"/>
          <w:sz w:val="24"/>
          <w:szCs w:val="24"/>
        </w:rPr>
        <w:t>dotyczące poszczególnych spółek.</w:t>
      </w:r>
      <w:r w:rsidR="008D0BDA">
        <w:rPr>
          <w:rFonts w:ascii="Times New Roman" w:hAnsi="Times New Roman" w:cs="Times New Roman"/>
          <w:sz w:val="24"/>
          <w:szCs w:val="24"/>
        </w:rPr>
        <w:t xml:space="preserve"> </w:t>
      </w:r>
      <w:r w:rsidR="008D0BDA" w:rsidRPr="008D0BDA">
        <w:rPr>
          <w:rFonts w:ascii="Times New Roman" w:hAnsi="Times New Roman" w:cs="Times New Roman"/>
          <w:sz w:val="24"/>
          <w:szCs w:val="24"/>
        </w:rPr>
        <w:t>Zweryfikowanie hipotezy o dużej przydatności raportów strategicznych dla inwestorów społecznie odpowiedzialnych wymaga dalszych badań – m.in. uwzględniających stopień wykorzystania przez agencje ratingowe i analityków danych o wpływie na społeczeństwo i środowisko ujawnianych w raportach strategicznych.</w:t>
      </w:r>
    </w:p>
    <w:p w14:paraId="78BCF56D" w14:textId="77777777" w:rsidR="00077EA3" w:rsidRPr="00077EA3" w:rsidRDefault="00077EA3" w:rsidP="00077EA3">
      <w:pPr>
        <w:rPr>
          <w:rFonts w:ascii="Times New Roman" w:hAnsi="Times New Roman" w:cs="Times New Roman"/>
          <w:sz w:val="24"/>
          <w:szCs w:val="24"/>
        </w:rPr>
      </w:pPr>
    </w:p>
    <w:p w14:paraId="04203CBB" w14:textId="77777777" w:rsidR="000F54D7" w:rsidRPr="00811D98" w:rsidRDefault="00084E47" w:rsidP="00077EA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C67539" w14:textId="77777777" w:rsidR="00077EA3" w:rsidRPr="00A42F53" w:rsidRDefault="00970EB0" w:rsidP="009330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Bibliografia</w:t>
      </w:r>
    </w:p>
    <w:p w14:paraId="4F8BFAC0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>Bauer R., Koedijk K.</w:t>
      </w:r>
      <w:r w:rsidR="00970EB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Otten R. </w:t>
      </w:r>
      <w:r w:rsidR="00970EB0">
        <w:rPr>
          <w:rFonts w:ascii="Times New Roman" w:hAnsi="Times New Roman" w:cs="Times New Roman"/>
          <w:sz w:val="20"/>
          <w:szCs w:val="20"/>
          <w:lang w:val="en-US"/>
        </w:rPr>
        <w:t>(2005),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70EB0">
        <w:rPr>
          <w:rFonts w:ascii="Times New Roman" w:hAnsi="Times New Roman" w:cs="Times New Roman"/>
          <w:i/>
          <w:sz w:val="20"/>
          <w:szCs w:val="20"/>
          <w:lang w:val="en-US"/>
        </w:rPr>
        <w:t>International evidence on ethical mutual fund performance and investment style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Journal of Banking and Finance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29 (7), s. 1751-1767</w:t>
      </w:r>
    </w:p>
    <w:p w14:paraId="481F78EF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Berry, T. C., Junkus, J. C. </w:t>
      </w:r>
      <w:r w:rsidR="00970EB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2013</w:t>
      </w:r>
      <w:r w:rsidR="00970EB0">
        <w:rPr>
          <w:rFonts w:ascii="Times New Roman" w:hAnsi="Times New Roman" w:cs="Times New Roman"/>
          <w:sz w:val="20"/>
          <w:szCs w:val="20"/>
          <w:lang w:val="en-US"/>
        </w:rPr>
        <w:t>),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Socially responsible investing: An investor perspective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Journal of business ethics,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112 (4), s. 707-720.</w:t>
      </w:r>
    </w:p>
    <w:p w14:paraId="7A6F32DA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Brammer, S., Brooks, C., Pavelin, S. </w:t>
      </w:r>
      <w:r w:rsidR="00970EB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2006</w:t>
      </w:r>
      <w:r w:rsidR="00970EB0">
        <w:rPr>
          <w:rFonts w:ascii="Times New Roman" w:hAnsi="Times New Roman" w:cs="Times New Roman"/>
          <w:sz w:val="20"/>
          <w:szCs w:val="20"/>
          <w:lang w:val="en-US"/>
        </w:rPr>
        <w:t>),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Corporate social performance and stock returns: UK evidence from disaggregate measures.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Financial management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35(3), s. 97-116</w:t>
      </w:r>
    </w:p>
    <w:p w14:paraId="16FEC0B8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Capelle-Blancard, G., Monjon, S. </w:t>
      </w:r>
      <w:r w:rsidR="00970EB0">
        <w:rPr>
          <w:rFonts w:ascii="Times New Roman" w:hAnsi="Times New Roman" w:cs="Times New Roman"/>
          <w:sz w:val="20"/>
          <w:szCs w:val="20"/>
          <w:lang w:val="en-US"/>
        </w:rPr>
        <w:t>(2012),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Trends in the literature on socially responsible investment: Looking for the keys under the lamppost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</w:rPr>
        <w:t>Business Ethics: A European Review</w:t>
      </w:r>
      <w:r w:rsidR="00CB52F0">
        <w:rPr>
          <w:rFonts w:ascii="Times New Roman" w:hAnsi="Times New Roman" w:cs="Times New Roman"/>
          <w:sz w:val="20"/>
          <w:szCs w:val="20"/>
        </w:rPr>
        <w:t>”</w:t>
      </w:r>
      <w:r w:rsidRPr="00970EB0">
        <w:rPr>
          <w:rFonts w:ascii="Times New Roman" w:hAnsi="Times New Roman" w:cs="Times New Roman"/>
          <w:sz w:val="20"/>
          <w:szCs w:val="20"/>
        </w:rPr>
        <w:t xml:space="preserve">, </w:t>
      </w:r>
      <w:r w:rsidR="00CB52F0">
        <w:rPr>
          <w:rFonts w:ascii="Times New Roman" w:hAnsi="Times New Roman" w:cs="Times New Roman"/>
          <w:sz w:val="20"/>
          <w:szCs w:val="20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</w:rPr>
        <w:t>21, s. 239–250</w:t>
      </w:r>
    </w:p>
    <w:p w14:paraId="46341F7F" w14:textId="77777777" w:rsidR="004D5A55" w:rsidRPr="00970EB0" w:rsidRDefault="004D5A55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</w:rPr>
        <w:t>Citanna, A.</w:t>
      </w:r>
      <w:r w:rsidR="00CB52F0">
        <w:rPr>
          <w:rFonts w:ascii="Times New Roman" w:hAnsi="Times New Roman" w:cs="Times New Roman"/>
          <w:sz w:val="20"/>
          <w:szCs w:val="20"/>
        </w:rPr>
        <w:t>,</w:t>
      </w:r>
      <w:r w:rsidRPr="00970EB0">
        <w:rPr>
          <w:rFonts w:ascii="Times New Roman" w:hAnsi="Times New Roman" w:cs="Times New Roman"/>
          <w:sz w:val="20"/>
          <w:szCs w:val="20"/>
        </w:rPr>
        <w:t xml:space="preserve"> Villanacci, A. (2000). </w:t>
      </w:r>
      <w:r w:rsidRPr="00970EB0">
        <w:rPr>
          <w:rFonts w:ascii="Times New Roman" w:hAnsi="Times New Roman" w:cs="Times New Roman"/>
          <w:i/>
          <w:sz w:val="20"/>
          <w:szCs w:val="20"/>
        </w:rPr>
        <w:t xml:space="preserve">Incomplete Markets, Allocative Efficiency, and the Information Revealed by Prices. </w:t>
      </w:r>
      <w:r w:rsidR="00CB52F0">
        <w:rPr>
          <w:rFonts w:ascii="Times New Roman" w:hAnsi="Times New Roman" w:cs="Times New Roman"/>
          <w:i/>
          <w:sz w:val="20"/>
          <w:szCs w:val="20"/>
        </w:rPr>
        <w:t>„</w:t>
      </w:r>
      <w:r w:rsidRPr="00970EB0">
        <w:rPr>
          <w:rFonts w:ascii="Times New Roman" w:hAnsi="Times New Roman" w:cs="Times New Roman"/>
          <w:sz w:val="20"/>
          <w:szCs w:val="20"/>
        </w:rPr>
        <w:t>Journal of Economic Theory</w:t>
      </w:r>
      <w:r w:rsidR="00CB52F0">
        <w:rPr>
          <w:rFonts w:ascii="Times New Roman" w:hAnsi="Times New Roman" w:cs="Times New Roman"/>
          <w:sz w:val="20"/>
          <w:szCs w:val="20"/>
        </w:rPr>
        <w:t>”</w:t>
      </w:r>
      <w:r w:rsidRPr="00970EB0">
        <w:rPr>
          <w:rFonts w:ascii="Times New Roman" w:hAnsi="Times New Roman" w:cs="Times New Roman"/>
          <w:sz w:val="20"/>
          <w:szCs w:val="20"/>
        </w:rPr>
        <w:t xml:space="preserve">, </w:t>
      </w:r>
      <w:r w:rsidR="00CB52F0">
        <w:rPr>
          <w:rFonts w:ascii="Times New Roman" w:hAnsi="Times New Roman" w:cs="Times New Roman"/>
          <w:sz w:val="20"/>
          <w:szCs w:val="20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</w:rPr>
        <w:t xml:space="preserve">90(2), </w:t>
      </w:r>
      <w:r w:rsidR="00CB52F0">
        <w:rPr>
          <w:rFonts w:ascii="Times New Roman" w:hAnsi="Times New Roman" w:cs="Times New Roman"/>
          <w:sz w:val="20"/>
          <w:szCs w:val="20"/>
        </w:rPr>
        <w:t xml:space="preserve">s. </w:t>
      </w:r>
      <w:r w:rsidRPr="00970EB0">
        <w:rPr>
          <w:rFonts w:ascii="Times New Roman" w:hAnsi="Times New Roman" w:cs="Times New Roman"/>
          <w:sz w:val="20"/>
          <w:szCs w:val="20"/>
        </w:rPr>
        <w:t>222-253</w:t>
      </w:r>
    </w:p>
    <w:p w14:paraId="58A91E02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</w:rPr>
        <w:t xml:space="preserve">Czerwonka, M. </w:t>
      </w:r>
      <w:r w:rsidR="00970EB0">
        <w:rPr>
          <w:rFonts w:ascii="Times New Roman" w:hAnsi="Times New Roman" w:cs="Times New Roman"/>
          <w:sz w:val="20"/>
          <w:szCs w:val="20"/>
        </w:rPr>
        <w:t>(</w:t>
      </w:r>
      <w:r w:rsidRPr="00970EB0">
        <w:rPr>
          <w:rFonts w:ascii="Times New Roman" w:hAnsi="Times New Roman" w:cs="Times New Roman"/>
          <w:sz w:val="20"/>
          <w:szCs w:val="20"/>
        </w:rPr>
        <w:t>2013</w:t>
      </w:r>
      <w:r w:rsidR="00970EB0">
        <w:rPr>
          <w:rFonts w:ascii="Times New Roman" w:hAnsi="Times New Roman" w:cs="Times New Roman"/>
          <w:sz w:val="20"/>
          <w:szCs w:val="20"/>
        </w:rPr>
        <w:t>)</w:t>
      </w:r>
      <w:r w:rsidRPr="00970EB0">
        <w:rPr>
          <w:rFonts w:ascii="Times New Roman" w:hAnsi="Times New Roman" w:cs="Times New Roman"/>
          <w:sz w:val="20"/>
          <w:szCs w:val="20"/>
        </w:rPr>
        <w:t xml:space="preserve">, </w:t>
      </w:r>
      <w:r w:rsidRPr="00CB52F0">
        <w:rPr>
          <w:rFonts w:ascii="Times New Roman" w:hAnsi="Times New Roman" w:cs="Times New Roman"/>
          <w:i/>
          <w:sz w:val="20"/>
          <w:szCs w:val="20"/>
        </w:rPr>
        <w:t>Inwesto</w:t>
      </w:r>
      <w:r w:rsidR="00970EB0" w:rsidRPr="00CB52F0">
        <w:rPr>
          <w:rFonts w:ascii="Times New Roman" w:hAnsi="Times New Roman" w:cs="Times New Roman"/>
          <w:i/>
          <w:sz w:val="20"/>
          <w:szCs w:val="20"/>
        </w:rPr>
        <w:t>wanie społecznie odpowiedzialne</w:t>
      </w:r>
      <w:r w:rsidR="00970EB0">
        <w:rPr>
          <w:rFonts w:ascii="Times New Roman" w:hAnsi="Times New Roman" w:cs="Times New Roman"/>
          <w:sz w:val="20"/>
          <w:szCs w:val="20"/>
        </w:rPr>
        <w:t>,</w:t>
      </w:r>
      <w:r w:rsidRPr="00970EB0">
        <w:rPr>
          <w:rFonts w:ascii="Times New Roman" w:hAnsi="Times New Roman" w:cs="Times New Roman"/>
          <w:sz w:val="20"/>
          <w:szCs w:val="20"/>
        </w:rPr>
        <w:t xml:space="preserve"> </w:t>
      </w:r>
      <w:r w:rsidR="00F050A0">
        <w:rPr>
          <w:rFonts w:ascii="Times New Roman" w:hAnsi="Times New Roman" w:cs="Times New Roman"/>
          <w:sz w:val="20"/>
          <w:szCs w:val="20"/>
        </w:rPr>
        <w:t xml:space="preserve">Warszawa, 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Difin.</w:t>
      </w:r>
    </w:p>
    <w:p w14:paraId="6AF10884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Duuren van, E., Plantinga, A., Scholtens, B. 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2015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),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ESG integration and the investment management process: fundamental investing reinvented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Journal of Business Ethics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s. 1-9 </w:t>
      </w:r>
    </w:p>
    <w:p w14:paraId="3BE0AF55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Dziawgo L. 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2010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 xml:space="preserve">Zielony rynek Finansowy. </w:t>
      </w:r>
      <w:r w:rsidRPr="00CB52F0">
        <w:rPr>
          <w:rFonts w:ascii="Times New Roman" w:hAnsi="Times New Roman" w:cs="Times New Roman"/>
          <w:i/>
          <w:sz w:val="20"/>
          <w:szCs w:val="20"/>
        </w:rPr>
        <w:t>Ekologiczna ewolucja rynku finansowego</w:t>
      </w:r>
      <w:r w:rsidRPr="00970EB0">
        <w:rPr>
          <w:rFonts w:ascii="Times New Roman" w:hAnsi="Times New Roman" w:cs="Times New Roman"/>
          <w:sz w:val="20"/>
          <w:szCs w:val="20"/>
        </w:rPr>
        <w:t>, Warszawa</w:t>
      </w:r>
      <w:r w:rsidR="00CB52F0">
        <w:rPr>
          <w:rFonts w:ascii="Times New Roman" w:hAnsi="Times New Roman" w:cs="Times New Roman"/>
          <w:sz w:val="20"/>
          <w:szCs w:val="20"/>
        </w:rPr>
        <w:t>,</w:t>
      </w:r>
      <w:r w:rsidR="00CB52F0" w:rsidRPr="00CB52F0">
        <w:rPr>
          <w:rFonts w:ascii="Times New Roman" w:hAnsi="Times New Roman" w:cs="Times New Roman"/>
          <w:sz w:val="20"/>
          <w:szCs w:val="20"/>
        </w:rPr>
        <w:t xml:space="preserve"> </w:t>
      </w:r>
      <w:r w:rsidR="00CB52F0" w:rsidRPr="00970EB0">
        <w:rPr>
          <w:rFonts w:ascii="Times New Roman" w:hAnsi="Times New Roman" w:cs="Times New Roman"/>
          <w:sz w:val="20"/>
          <w:szCs w:val="20"/>
        </w:rPr>
        <w:t>PWE</w:t>
      </w:r>
    </w:p>
    <w:p w14:paraId="35B321A0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EUROSIF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2014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European SRI Study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B52F0" w:rsidRPr="00CB52F0">
        <w:rPr>
          <w:rFonts w:ascii="Times New Roman" w:hAnsi="Times New Roman" w:cs="Times New Roman"/>
          <w:i/>
          <w:sz w:val="20"/>
          <w:szCs w:val="20"/>
          <w:lang w:val="en-US"/>
        </w:rPr>
        <w:t>2014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, http://www.eurosif.org/wp-content/uploads/2014/09/Eurosif-SRI-Study-20142.pdf</w:t>
      </w:r>
    </w:p>
    <w:p w14:paraId="341DD77C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Friedman, A. L., Miles, S. 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2001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Socially responsible investment and corporate social and environmental reporting in the UK: an exploratory study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The British Accounting Review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33(4), s. 523-548.</w:t>
      </w:r>
    </w:p>
    <w:p w14:paraId="77E07A26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FRC 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2014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Guidance on the Strategic Report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10" w:history="1">
        <w:r w:rsidR="00F050A0" w:rsidRPr="008F44E4">
          <w:rPr>
            <w:rStyle w:val="Hipercze"/>
            <w:rFonts w:ascii="Times New Roman" w:hAnsi="Times New Roman" w:cs="Times New Roman"/>
            <w:sz w:val="20"/>
            <w:szCs w:val="20"/>
            <w:lang w:val="en-US"/>
          </w:rPr>
          <w:t>https://frc.org.uk/Our-Work/Publications/Accounting-and-Reporting-Policy/Guidance-on-the-Strategic-Report.pdf</w:t>
        </w:r>
      </w:hyperlink>
      <w:r w:rsidR="00F050A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50A0" w:rsidRPr="00970EB0">
        <w:rPr>
          <w:rFonts w:ascii="Times New Roman" w:hAnsi="Times New Roman" w:cs="Times New Roman"/>
          <w:sz w:val="20"/>
          <w:szCs w:val="20"/>
          <w:lang w:val="en-US"/>
        </w:rPr>
        <w:t>dostęp 15.0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F050A0" w:rsidRPr="00970EB0">
        <w:rPr>
          <w:rFonts w:ascii="Times New Roman" w:hAnsi="Times New Roman" w:cs="Times New Roman"/>
          <w:sz w:val="20"/>
          <w:szCs w:val="20"/>
          <w:lang w:val="en-US"/>
        </w:rPr>
        <w:t>.2016</w:t>
      </w:r>
    </w:p>
    <w:p w14:paraId="79BAF64B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Humphrey, J. E., Tan, D. T.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(2014),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Does it really hurt to be responsible?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B52F0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</w:rPr>
        <w:t>Journal of Business Ethics</w:t>
      </w:r>
      <w:r w:rsidR="00CB52F0">
        <w:rPr>
          <w:rFonts w:ascii="Times New Roman" w:hAnsi="Times New Roman" w:cs="Times New Roman"/>
          <w:sz w:val="20"/>
          <w:szCs w:val="20"/>
        </w:rPr>
        <w:t>”</w:t>
      </w:r>
      <w:r w:rsidRPr="00970EB0">
        <w:rPr>
          <w:rFonts w:ascii="Times New Roman" w:hAnsi="Times New Roman" w:cs="Times New Roman"/>
          <w:sz w:val="20"/>
          <w:szCs w:val="20"/>
        </w:rPr>
        <w:t xml:space="preserve">, </w:t>
      </w:r>
      <w:r w:rsidR="00CB52F0">
        <w:rPr>
          <w:rFonts w:ascii="Times New Roman" w:hAnsi="Times New Roman" w:cs="Times New Roman"/>
          <w:sz w:val="20"/>
          <w:szCs w:val="20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</w:rPr>
        <w:t xml:space="preserve">122, </w:t>
      </w:r>
      <w:r w:rsidR="00CB52F0">
        <w:rPr>
          <w:rFonts w:ascii="Times New Roman" w:hAnsi="Times New Roman" w:cs="Times New Roman"/>
          <w:sz w:val="20"/>
          <w:szCs w:val="20"/>
        </w:rPr>
        <w:t>s.</w:t>
      </w:r>
      <w:r w:rsidRPr="00970EB0">
        <w:rPr>
          <w:rFonts w:ascii="Times New Roman" w:hAnsi="Times New Roman" w:cs="Times New Roman"/>
          <w:sz w:val="20"/>
          <w:szCs w:val="20"/>
        </w:rPr>
        <w:t xml:space="preserve"> 375–386</w:t>
      </w:r>
    </w:p>
    <w:p w14:paraId="14878A11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Luther, R. G., Matatko, J., Corner, D. C. (1992). </w:t>
      </w:r>
      <w:r w:rsidRPr="00CB52F0">
        <w:rPr>
          <w:rFonts w:ascii="Times New Roman" w:hAnsi="Times New Roman" w:cs="Times New Roman"/>
          <w:i/>
          <w:sz w:val="20"/>
          <w:szCs w:val="20"/>
          <w:lang w:val="en-US"/>
        </w:rPr>
        <w:t>The investment performance of UK “ethical” Unit Trusts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70EB0">
        <w:rPr>
          <w:rFonts w:ascii="Times New Roman" w:hAnsi="Times New Roman" w:cs="Times New Roman"/>
          <w:sz w:val="20"/>
          <w:szCs w:val="20"/>
        </w:rPr>
        <w:t xml:space="preserve">Accounting, Auditing </w:t>
      </w:r>
      <w:r w:rsidR="00CB52F0">
        <w:rPr>
          <w:rFonts w:ascii="Times New Roman" w:hAnsi="Times New Roman" w:cs="Times New Roman"/>
          <w:sz w:val="20"/>
          <w:szCs w:val="20"/>
        </w:rPr>
        <w:t>and</w:t>
      </w:r>
      <w:r w:rsidRPr="00970EB0">
        <w:rPr>
          <w:rFonts w:ascii="Times New Roman" w:hAnsi="Times New Roman" w:cs="Times New Roman"/>
          <w:sz w:val="20"/>
          <w:szCs w:val="20"/>
        </w:rPr>
        <w:t xml:space="preserve"> Accountability Journal, 5</w:t>
      </w:r>
      <w:r w:rsidR="00790437">
        <w:rPr>
          <w:rFonts w:ascii="Times New Roman" w:hAnsi="Times New Roman" w:cs="Times New Roman"/>
          <w:sz w:val="20"/>
          <w:szCs w:val="20"/>
        </w:rPr>
        <w:t xml:space="preserve"> </w:t>
      </w:r>
      <w:r w:rsidRPr="00970EB0">
        <w:rPr>
          <w:rFonts w:ascii="Times New Roman" w:hAnsi="Times New Roman" w:cs="Times New Roman"/>
          <w:sz w:val="20"/>
          <w:szCs w:val="20"/>
        </w:rPr>
        <w:t>(4).</w:t>
      </w:r>
    </w:p>
    <w:p w14:paraId="2EC87A87" w14:textId="77777777" w:rsidR="00A42F53" w:rsidRPr="00970EB0" w:rsidRDefault="00A42F53" w:rsidP="00970EB0">
      <w:p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>Holland J.</w:t>
      </w:r>
      <w:r w:rsidR="00F050A0" w:rsidRPr="00F050A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050A0" w:rsidRPr="00970EB0">
        <w:rPr>
          <w:rFonts w:ascii="Times New Roman" w:hAnsi="Times New Roman" w:cs="Times New Roman"/>
          <w:sz w:val="20"/>
          <w:szCs w:val="20"/>
          <w:lang w:val="en-US"/>
        </w:rPr>
        <w:t>1998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90437">
        <w:rPr>
          <w:rFonts w:ascii="Times New Roman" w:hAnsi="Times New Roman" w:cs="Times New Roman"/>
          <w:i/>
          <w:sz w:val="20"/>
          <w:szCs w:val="20"/>
          <w:lang w:val="en-US"/>
        </w:rPr>
        <w:t>Private disclosure and financial reporting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, „Accounting and Business Research”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Vol.</w:t>
      </w:r>
      <w:r w:rsidR="00C40431">
        <w:rPr>
          <w:rFonts w:ascii="Times New Roman" w:hAnsi="Times New Roman" w:cs="Times New Roman"/>
          <w:sz w:val="20"/>
          <w:szCs w:val="20"/>
          <w:lang w:val="en-US"/>
        </w:rPr>
        <w:t xml:space="preserve"> 28 (4).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C116A67" w14:textId="77777777" w:rsidR="00A42F53" w:rsidRPr="00970EB0" w:rsidRDefault="00A42F53" w:rsidP="00970EB0">
      <w:pPr>
        <w:ind w:left="426" w:hanging="426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</w:rPr>
        <w:t>Kaplan R. S., Norton D.</w:t>
      </w:r>
      <w:r w:rsidR="00790437" w:rsidRPr="00790437">
        <w:rPr>
          <w:rFonts w:ascii="Times New Roman" w:hAnsi="Times New Roman" w:cs="Times New Roman"/>
          <w:sz w:val="20"/>
          <w:szCs w:val="20"/>
        </w:rPr>
        <w:t xml:space="preserve"> </w:t>
      </w:r>
      <w:r w:rsidR="00790437">
        <w:rPr>
          <w:rFonts w:ascii="Times New Roman" w:hAnsi="Times New Roman" w:cs="Times New Roman"/>
          <w:sz w:val="20"/>
          <w:szCs w:val="20"/>
        </w:rPr>
        <w:t>(</w:t>
      </w:r>
      <w:r w:rsidR="00790437" w:rsidRPr="00970EB0">
        <w:rPr>
          <w:rFonts w:ascii="Times New Roman" w:hAnsi="Times New Roman" w:cs="Times New Roman"/>
          <w:sz w:val="20"/>
          <w:szCs w:val="20"/>
        </w:rPr>
        <w:t>2001</w:t>
      </w:r>
      <w:r w:rsidR="00790437">
        <w:rPr>
          <w:rFonts w:ascii="Times New Roman" w:hAnsi="Times New Roman" w:cs="Times New Roman"/>
          <w:sz w:val="20"/>
          <w:szCs w:val="20"/>
        </w:rPr>
        <w:t>)</w:t>
      </w:r>
      <w:r w:rsidRPr="00970EB0">
        <w:rPr>
          <w:rFonts w:ascii="Times New Roman" w:hAnsi="Times New Roman" w:cs="Times New Roman"/>
          <w:sz w:val="20"/>
          <w:szCs w:val="20"/>
        </w:rPr>
        <w:t xml:space="preserve">, </w:t>
      </w:r>
      <w:r w:rsidRPr="00790437">
        <w:rPr>
          <w:rFonts w:ascii="Times New Roman" w:hAnsi="Times New Roman" w:cs="Times New Roman"/>
          <w:i/>
          <w:sz w:val="20"/>
          <w:szCs w:val="20"/>
        </w:rPr>
        <w:t>Strategiczna Karta Wyników – Jak przełożyć strategię na działania</w:t>
      </w:r>
      <w:r w:rsidRPr="00970EB0">
        <w:rPr>
          <w:rFonts w:ascii="Times New Roman" w:hAnsi="Times New Roman" w:cs="Times New Roman"/>
          <w:sz w:val="20"/>
          <w:szCs w:val="20"/>
        </w:rPr>
        <w:t xml:space="preserve">, PWN, Warszawa </w:t>
      </w:r>
    </w:p>
    <w:p w14:paraId="232BD7B2" w14:textId="77777777" w:rsidR="00D0508D" w:rsidRPr="00970EB0" w:rsidRDefault="00D0508D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</w:rPr>
        <w:t xml:space="preserve">Klimczak K., (2014), </w:t>
      </w:r>
      <w:r w:rsidRPr="00790437">
        <w:rPr>
          <w:rFonts w:ascii="Times New Roman" w:hAnsi="Times New Roman" w:cs="Times New Roman"/>
          <w:i/>
          <w:sz w:val="20"/>
          <w:szCs w:val="20"/>
        </w:rPr>
        <w:t>Wycena akcji a sprawozdawczość finansowa</w:t>
      </w:r>
      <w:r w:rsidRPr="00970EB0">
        <w:rPr>
          <w:rFonts w:ascii="Times New Roman" w:hAnsi="Times New Roman" w:cs="Times New Roman"/>
          <w:sz w:val="20"/>
          <w:szCs w:val="20"/>
        </w:rPr>
        <w:t>, Warszawa, POLTEX</w:t>
      </w:r>
    </w:p>
    <w:p w14:paraId="63FE9F2E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</w:rPr>
        <w:t xml:space="preserve">Marcinkowska, M. </w:t>
      </w:r>
      <w:r w:rsidR="00F050A0">
        <w:rPr>
          <w:rFonts w:ascii="Times New Roman" w:hAnsi="Times New Roman" w:cs="Times New Roman"/>
          <w:sz w:val="20"/>
          <w:szCs w:val="20"/>
        </w:rPr>
        <w:t>(2004),</w:t>
      </w:r>
      <w:r w:rsidRPr="00970EB0">
        <w:rPr>
          <w:rFonts w:ascii="Times New Roman" w:hAnsi="Times New Roman" w:cs="Times New Roman"/>
          <w:sz w:val="20"/>
          <w:szCs w:val="20"/>
        </w:rPr>
        <w:t xml:space="preserve"> </w:t>
      </w:r>
      <w:r w:rsidRPr="00790437">
        <w:rPr>
          <w:rFonts w:ascii="Times New Roman" w:hAnsi="Times New Roman" w:cs="Times New Roman"/>
          <w:i/>
          <w:sz w:val="20"/>
          <w:szCs w:val="20"/>
        </w:rPr>
        <w:t>Roczny raport z działań i wyników przedsiębiorstwa: nowe tendencje w sprawozdawczości biznesowej.</w:t>
      </w:r>
      <w:r w:rsidRPr="00970EB0">
        <w:rPr>
          <w:rFonts w:ascii="Times New Roman" w:hAnsi="Times New Roman" w:cs="Times New Roman"/>
          <w:sz w:val="20"/>
          <w:szCs w:val="20"/>
        </w:rPr>
        <w:t xml:space="preserve"> Oficyna Ekonomiczna.</w:t>
      </w:r>
    </w:p>
    <w:p w14:paraId="3A2D878B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</w:rPr>
        <w:t>Michalak</w:t>
      </w:r>
      <w:r w:rsidR="00790437">
        <w:rPr>
          <w:rFonts w:ascii="Times New Roman" w:hAnsi="Times New Roman" w:cs="Times New Roman"/>
          <w:sz w:val="20"/>
          <w:szCs w:val="20"/>
        </w:rPr>
        <w:t xml:space="preserve"> J. (</w:t>
      </w:r>
      <w:r w:rsidR="00790437" w:rsidRPr="00970EB0">
        <w:rPr>
          <w:rFonts w:ascii="Times New Roman" w:hAnsi="Times New Roman" w:cs="Times New Roman"/>
          <w:sz w:val="20"/>
          <w:szCs w:val="20"/>
        </w:rPr>
        <w:t>2008</w:t>
      </w:r>
      <w:r w:rsidR="00790437">
        <w:rPr>
          <w:rFonts w:ascii="Times New Roman" w:hAnsi="Times New Roman" w:cs="Times New Roman"/>
          <w:sz w:val="20"/>
          <w:szCs w:val="20"/>
        </w:rPr>
        <w:t>)</w:t>
      </w:r>
      <w:r w:rsidRPr="00970EB0">
        <w:rPr>
          <w:rFonts w:ascii="Times New Roman" w:hAnsi="Times New Roman" w:cs="Times New Roman"/>
          <w:sz w:val="20"/>
          <w:szCs w:val="20"/>
        </w:rPr>
        <w:t xml:space="preserve">, </w:t>
      </w:r>
      <w:r w:rsidRPr="00790437">
        <w:rPr>
          <w:rFonts w:ascii="Times New Roman" w:hAnsi="Times New Roman" w:cs="Times New Roman"/>
          <w:i/>
          <w:sz w:val="20"/>
          <w:szCs w:val="20"/>
        </w:rPr>
        <w:t>Pomiar dokonań. Od wyniku finansowego do Balanced Scorecard</w:t>
      </w:r>
      <w:r w:rsidR="00790437">
        <w:rPr>
          <w:rFonts w:ascii="Times New Roman" w:hAnsi="Times New Roman" w:cs="Times New Roman"/>
          <w:sz w:val="20"/>
          <w:szCs w:val="20"/>
        </w:rPr>
        <w:t>., Warszawa, Difin</w:t>
      </w:r>
      <w:r w:rsidRPr="00970EB0">
        <w:rPr>
          <w:rFonts w:ascii="Times New Roman" w:hAnsi="Times New Roman" w:cs="Times New Roman"/>
          <w:sz w:val="20"/>
          <w:szCs w:val="20"/>
        </w:rPr>
        <w:t>.</w:t>
      </w:r>
    </w:p>
    <w:p w14:paraId="7FB5C58B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</w:rPr>
        <w:t xml:space="preserve">Pogodzińska-Mizdrak, E. </w:t>
      </w:r>
      <w:r w:rsidR="00F050A0">
        <w:rPr>
          <w:rFonts w:ascii="Times New Roman" w:hAnsi="Times New Roman" w:cs="Times New Roman"/>
          <w:sz w:val="20"/>
          <w:szCs w:val="20"/>
        </w:rPr>
        <w:t>(</w:t>
      </w:r>
      <w:r w:rsidRPr="00970EB0">
        <w:rPr>
          <w:rFonts w:ascii="Times New Roman" w:hAnsi="Times New Roman" w:cs="Times New Roman"/>
          <w:sz w:val="20"/>
          <w:szCs w:val="20"/>
        </w:rPr>
        <w:t>2010</w:t>
      </w:r>
      <w:r w:rsidR="00F050A0">
        <w:rPr>
          <w:rFonts w:ascii="Times New Roman" w:hAnsi="Times New Roman" w:cs="Times New Roman"/>
          <w:sz w:val="20"/>
          <w:szCs w:val="20"/>
        </w:rPr>
        <w:t>),</w:t>
      </w:r>
      <w:r w:rsidRPr="00970EB0">
        <w:rPr>
          <w:rFonts w:ascii="Times New Roman" w:hAnsi="Times New Roman" w:cs="Times New Roman"/>
          <w:sz w:val="20"/>
          <w:szCs w:val="20"/>
        </w:rPr>
        <w:t xml:space="preserve"> </w:t>
      </w:r>
      <w:r w:rsidRPr="00790437">
        <w:rPr>
          <w:rFonts w:ascii="Times New Roman" w:hAnsi="Times New Roman" w:cs="Times New Roman"/>
          <w:i/>
          <w:sz w:val="20"/>
          <w:szCs w:val="20"/>
        </w:rPr>
        <w:t>Koncepcje społecznie odpowiedzialnego gospodarowania i inwestowania szansą rozwoju rachunkowości</w:t>
      </w:r>
      <w:r w:rsidRPr="00970EB0">
        <w:rPr>
          <w:rFonts w:ascii="Times New Roman" w:hAnsi="Times New Roman" w:cs="Times New Roman"/>
          <w:sz w:val="20"/>
          <w:szCs w:val="20"/>
        </w:rPr>
        <w:t xml:space="preserve">. Zeszyty Teoretyczne Rachunkowości, </w:t>
      </w:r>
      <w:r w:rsidR="00790437">
        <w:rPr>
          <w:rFonts w:ascii="Times New Roman" w:hAnsi="Times New Roman" w:cs="Times New Roman"/>
          <w:sz w:val="20"/>
          <w:szCs w:val="20"/>
        </w:rPr>
        <w:t>Tom 56</w:t>
      </w:r>
      <w:r w:rsidRPr="00970EB0">
        <w:rPr>
          <w:rFonts w:ascii="Times New Roman" w:hAnsi="Times New Roman" w:cs="Times New Roman"/>
          <w:sz w:val="20"/>
          <w:szCs w:val="20"/>
        </w:rPr>
        <w:t xml:space="preserve">, </w:t>
      </w:r>
      <w:r w:rsidR="00790437">
        <w:rPr>
          <w:rFonts w:ascii="Times New Roman" w:hAnsi="Times New Roman" w:cs="Times New Roman"/>
          <w:sz w:val="20"/>
          <w:szCs w:val="20"/>
        </w:rPr>
        <w:t xml:space="preserve">s. </w:t>
      </w:r>
      <w:r w:rsidRPr="00970EB0">
        <w:rPr>
          <w:rFonts w:ascii="Times New Roman" w:hAnsi="Times New Roman" w:cs="Times New Roman"/>
          <w:sz w:val="20"/>
          <w:szCs w:val="20"/>
        </w:rPr>
        <w:t>175-184.</w:t>
      </w:r>
    </w:p>
    <w:p w14:paraId="7B6874D5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70EB0">
        <w:rPr>
          <w:rFonts w:ascii="Times New Roman" w:hAnsi="Times New Roman" w:cs="Times New Roman"/>
          <w:sz w:val="20"/>
          <w:szCs w:val="20"/>
        </w:rPr>
        <w:t xml:space="preserve">Rogowski, W., Ulianiuk, A. </w:t>
      </w:r>
      <w:r w:rsidR="00790437">
        <w:rPr>
          <w:rFonts w:ascii="Times New Roman" w:hAnsi="Times New Roman" w:cs="Times New Roman"/>
          <w:sz w:val="20"/>
          <w:szCs w:val="20"/>
        </w:rPr>
        <w:t>(</w:t>
      </w:r>
      <w:r w:rsidRPr="00970EB0">
        <w:rPr>
          <w:rFonts w:ascii="Times New Roman" w:hAnsi="Times New Roman" w:cs="Times New Roman"/>
          <w:sz w:val="20"/>
          <w:szCs w:val="20"/>
        </w:rPr>
        <w:t>2012</w:t>
      </w:r>
      <w:r w:rsidR="00790437">
        <w:rPr>
          <w:rFonts w:ascii="Times New Roman" w:hAnsi="Times New Roman" w:cs="Times New Roman"/>
          <w:sz w:val="20"/>
          <w:szCs w:val="20"/>
        </w:rPr>
        <w:t>),</w:t>
      </w:r>
      <w:r w:rsidRPr="00970EB0">
        <w:rPr>
          <w:rFonts w:ascii="Times New Roman" w:hAnsi="Times New Roman" w:cs="Times New Roman"/>
          <w:sz w:val="20"/>
          <w:szCs w:val="20"/>
        </w:rPr>
        <w:t xml:space="preserve"> </w:t>
      </w:r>
      <w:r w:rsidRPr="00790437">
        <w:rPr>
          <w:rFonts w:ascii="Times New Roman" w:hAnsi="Times New Roman" w:cs="Times New Roman"/>
          <w:i/>
          <w:sz w:val="20"/>
          <w:szCs w:val="20"/>
        </w:rPr>
        <w:t>Społecznie odpowiedzialne inwestowanie (SRI)–próba charakterystyki</w:t>
      </w:r>
      <w:r w:rsidRPr="00970EB0">
        <w:rPr>
          <w:rFonts w:ascii="Times New Roman" w:hAnsi="Times New Roman" w:cs="Times New Roman"/>
          <w:sz w:val="20"/>
          <w:szCs w:val="20"/>
        </w:rPr>
        <w:t xml:space="preserve">, Studia Prace Kolegium Zarządzania 114, s. 64-81. </w:t>
      </w:r>
    </w:p>
    <w:p w14:paraId="7156FBA6" w14:textId="77777777" w:rsidR="0078216C" w:rsidRPr="0078216C" w:rsidRDefault="00C40431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RMSR </w:t>
      </w:r>
      <w:r w:rsidR="0078216C">
        <w:rPr>
          <w:rFonts w:ascii="Times New Roman" w:hAnsi="Times New Roman" w:cs="Times New Roman"/>
          <w:sz w:val="20"/>
          <w:szCs w:val="20"/>
          <w:lang w:val="en-US"/>
        </w:rPr>
        <w:t xml:space="preserve">(IASB) (2011),  </w:t>
      </w:r>
      <w:r w:rsidR="0078216C" w:rsidRPr="0078216C">
        <w:rPr>
          <w:rFonts w:ascii="Times New Roman" w:hAnsi="Times New Roman" w:cs="Times New Roman"/>
          <w:i/>
          <w:sz w:val="20"/>
          <w:szCs w:val="20"/>
          <w:lang w:val="en-US"/>
        </w:rPr>
        <w:t>Międzynarodowe Standardy Sprawozdawczości Finansowej.</w:t>
      </w:r>
      <w:r w:rsidR="0078216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78216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Rada Międzynarodowych Standardów Sprawozdawczości Finansowej, </w:t>
      </w:r>
      <w:r w:rsidR="0078216C">
        <w:rPr>
          <w:rFonts w:ascii="Times New Roman" w:hAnsi="Times New Roman" w:cs="Times New Roman"/>
          <w:sz w:val="20"/>
          <w:szCs w:val="20"/>
          <w:lang w:val="en-US"/>
        </w:rPr>
        <w:t>Londyn.</w:t>
      </w:r>
    </w:p>
    <w:p w14:paraId="3100FB47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Rosen, B. N., Sandler, D. M., &amp; Shani, D.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(1991),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0437">
        <w:rPr>
          <w:rFonts w:ascii="Times New Roman" w:hAnsi="Times New Roman" w:cs="Times New Roman"/>
          <w:i/>
          <w:sz w:val="20"/>
          <w:szCs w:val="20"/>
          <w:lang w:val="en-US"/>
        </w:rPr>
        <w:t>Social issues and socially responsible investment behavior: A preliminary empirical investigation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Journal of Consumer Affairs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25(2), s. 221-234.</w:t>
      </w:r>
    </w:p>
    <w:p w14:paraId="0DB4A2E5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Sandberg J., Juravle C., Hedesström T.D. Hamilton I.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2009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790437">
        <w:rPr>
          <w:rFonts w:ascii="Times New Roman" w:hAnsi="Times New Roman" w:cs="Times New Roman"/>
          <w:i/>
          <w:sz w:val="20"/>
          <w:szCs w:val="20"/>
          <w:lang w:val="en-US"/>
        </w:rPr>
        <w:t>The heterogeneity of socially responsible investment.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Journal of Business Ethics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87, s. 519-533</w:t>
      </w:r>
    </w:p>
    <w:p w14:paraId="65D9E555" w14:textId="77777777" w:rsidR="00A42F53" w:rsidRPr="00970EB0" w:rsidRDefault="00A42F53" w:rsidP="00970EB0">
      <w:p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</w:rPr>
        <w:t xml:space="preserve">Sobańska, I. </w:t>
      </w:r>
      <w:r w:rsidR="00F050A0" w:rsidRPr="00970EB0">
        <w:rPr>
          <w:rFonts w:ascii="Times New Roman" w:hAnsi="Times New Roman" w:cs="Times New Roman"/>
          <w:sz w:val="20"/>
          <w:szCs w:val="20"/>
        </w:rPr>
        <w:t>(2003)</w:t>
      </w:r>
      <w:r w:rsidR="00F050A0">
        <w:rPr>
          <w:rFonts w:ascii="Times New Roman" w:hAnsi="Times New Roman" w:cs="Times New Roman"/>
          <w:sz w:val="20"/>
          <w:szCs w:val="20"/>
        </w:rPr>
        <w:t xml:space="preserve">, </w:t>
      </w:r>
      <w:r w:rsidRPr="00790437">
        <w:rPr>
          <w:rFonts w:ascii="Times New Roman" w:hAnsi="Times New Roman" w:cs="Times New Roman"/>
          <w:i/>
          <w:sz w:val="20"/>
          <w:szCs w:val="20"/>
        </w:rPr>
        <w:t>Problemy rachunkowości zarządczej w grupie kapitałowej–nowy obszar badawczy.</w:t>
      </w:r>
      <w:r w:rsidRPr="00970EB0">
        <w:rPr>
          <w:rFonts w:ascii="Times New Roman" w:hAnsi="Times New Roman" w:cs="Times New Roman"/>
          <w:sz w:val="20"/>
          <w:szCs w:val="20"/>
        </w:rPr>
        <w:t xml:space="preserve"> „Zeszyty Teoretyczne Rachunkowości” </w:t>
      </w:r>
      <w:r w:rsidR="00790437">
        <w:rPr>
          <w:rFonts w:ascii="Times New Roman" w:hAnsi="Times New Roman" w:cs="Times New Roman"/>
          <w:sz w:val="20"/>
          <w:szCs w:val="20"/>
        </w:rPr>
        <w:t xml:space="preserve">Tom </w:t>
      </w:r>
      <w:r w:rsidRPr="00970EB0">
        <w:rPr>
          <w:rFonts w:ascii="Times New Roman" w:hAnsi="Times New Roman" w:cs="Times New Roman"/>
          <w:sz w:val="20"/>
          <w:szCs w:val="20"/>
        </w:rPr>
        <w:t>17, s. 110-120</w:t>
      </w:r>
    </w:p>
    <w:p w14:paraId="733FEC48" w14:textId="77777777" w:rsidR="00077EA3" w:rsidRPr="00970EB0" w:rsidRDefault="00077EA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Shiller, R. J. 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(2013)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0437">
        <w:rPr>
          <w:rFonts w:ascii="Times New Roman" w:hAnsi="Times New Roman" w:cs="Times New Roman"/>
          <w:i/>
          <w:sz w:val="20"/>
          <w:szCs w:val="20"/>
          <w:lang w:val="en-US"/>
        </w:rPr>
        <w:t>Capitalism and financial innovation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Financial Analysts Journal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 xml:space="preserve">vol. 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69 (1), s. 21–25</w:t>
      </w:r>
    </w:p>
    <w:p w14:paraId="76587067" w14:textId="77777777" w:rsidR="00A42F53" w:rsidRPr="00970EB0" w:rsidRDefault="00A42F53" w:rsidP="00970EB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Urban, D. 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>(2011)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0437">
        <w:rPr>
          <w:rFonts w:ascii="Times New Roman" w:hAnsi="Times New Roman" w:cs="Times New Roman"/>
          <w:i/>
          <w:sz w:val="20"/>
          <w:szCs w:val="20"/>
          <w:lang w:val="en-US"/>
        </w:rPr>
        <w:t>Zarys koncepcji inwestowania społecznie odpowiedzialnego.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Pr="00970EB0">
        <w:rPr>
          <w:rFonts w:ascii="Times New Roman" w:hAnsi="Times New Roman" w:cs="Times New Roman"/>
          <w:sz w:val="20"/>
          <w:szCs w:val="20"/>
          <w:lang w:val="en-US"/>
        </w:rPr>
        <w:t>Acta Universitatis Lodziensis. Folia Oeconomica</w:t>
      </w:r>
      <w:r w:rsidR="00790437">
        <w:rPr>
          <w:rFonts w:ascii="Times New Roman" w:hAnsi="Times New Roman" w:cs="Times New Roman"/>
          <w:sz w:val="20"/>
          <w:szCs w:val="20"/>
          <w:lang w:val="en-US"/>
        </w:rPr>
        <w:t>”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78216C">
        <w:rPr>
          <w:rFonts w:ascii="Times New Roman" w:hAnsi="Times New Roman" w:cs="Times New Roman"/>
          <w:sz w:val="20"/>
          <w:szCs w:val="20"/>
          <w:lang w:val="en-US"/>
        </w:rPr>
        <w:t>Tom</w:t>
      </w:r>
      <w:r w:rsidR="00F050A0">
        <w:rPr>
          <w:rFonts w:ascii="Times New Roman" w:hAnsi="Times New Roman" w:cs="Times New Roman"/>
          <w:sz w:val="20"/>
          <w:szCs w:val="20"/>
          <w:lang w:val="en-US"/>
        </w:rPr>
        <w:t xml:space="preserve"> 261, s. 495-507.</w:t>
      </w:r>
    </w:p>
    <w:p w14:paraId="39DD0F23" w14:textId="77777777" w:rsidR="0046579D" w:rsidRDefault="0046579D" w:rsidP="0046579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6579D" w:rsidSect="000B365F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an Michalak" w:date="2017-04-14T15:44:00Z" w:initials="JM">
    <w:p w14:paraId="520D1358" w14:textId="77777777" w:rsidR="00C26535" w:rsidRDefault="00C26535">
      <w:pPr>
        <w:pStyle w:val="Tekstkomentarza"/>
      </w:pPr>
      <w:r>
        <w:rPr>
          <w:rStyle w:val="Odwoaniedokomentarza"/>
        </w:rPr>
        <w:annotationRef/>
      </w:r>
      <w:r>
        <w:t>Występują liczne usterki DTP polegające na występowaniu łączników i przyimków na końcu wierszy. Czy zostanie to poprawione w kolejnej wersji składu?</w:t>
      </w:r>
    </w:p>
  </w:comment>
  <w:comment w:id="1" w:author="Jan Michalak" w:date="2017-04-14T15:48:00Z" w:initials="JM">
    <w:p w14:paraId="5AAC0ACE" w14:textId="62548BF0" w:rsidR="00C26535" w:rsidRDefault="00C26535">
      <w:pPr>
        <w:pStyle w:val="Tekstkomentarza"/>
      </w:pPr>
      <w:r>
        <w:rPr>
          <w:rStyle w:val="Odwoaniedokomentarza"/>
        </w:rPr>
        <w:annotationRef/>
      </w:r>
      <w:r>
        <w:t xml:space="preserve">Czy wielokrotne spacje są zabiegiem świadomym czy </w:t>
      </w:r>
      <w:r w:rsidR="00084E47">
        <w:t>przypadkowym</w:t>
      </w:r>
      <w:r>
        <w:t>?</w:t>
      </w:r>
    </w:p>
  </w:comment>
  <w:comment w:id="3" w:author="Jan Michalak" w:date="2017-04-14T15:50:00Z" w:initials="JM">
    <w:p w14:paraId="152779FF" w14:textId="77777777" w:rsidR="00C26535" w:rsidRDefault="00C26535">
      <w:pPr>
        <w:pStyle w:val="Tekstkomentarza"/>
      </w:pPr>
      <w:r>
        <w:rPr>
          <w:rStyle w:val="Odwoaniedokomentarza"/>
        </w:rPr>
        <w:annotationRef/>
      </w:r>
      <w:bookmarkStart w:id="4" w:name="_Hlk479948572"/>
      <w:r>
        <w:t>Proszę w miarę możliwości o nieprzenoszenie tabel ze strony na stronę.</w:t>
      </w:r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0D1358" w15:done="0"/>
  <w15:commentEx w15:paraId="5AAC0ACE" w15:done="0"/>
  <w15:commentEx w15:paraId="152779F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A33B4" w14:textId="77777777" w:rsidR="00077EA3" w:rsidRDefault="00077EA3" w:rsidP="00077EA3">
      <w:pPr>
        <w:spacing w:after="0" w:line="240" w:lineRule="auto"/>
      </w:pPr>
      <w:r>
        <w:separator/>
      </w:r>
    </w:p>
  </w:endnote>
  <w:endnote w:type="continuationSeparator" w:id="0">
    <w:p w14:paraId="3120FAB8" w14:textId="77777777" w:rsidR="00077EA3" w:rsidRDefault="00077EA3" w:rsidP="0007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132430"/>
      <w:docPartObj>
        <w:docPartGallery w:val="Page Numbers (Bottom of Page)"/>
        <w:docPartUnique/>
      </w:docPartObj>
    </w:sdtPr>
    <w:sdtEndPr/>
    <w:sdtContent>
      <w:p w14:paraId="6869075C" w14:textId="2E05567E" w:rsidR="00D0508D" w:rsidRDefault="00D050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47">
          <w:rPr>
            <w:noProof/>
          </w:rPr>
          <w:t>9</w:t>
        </w:r>
        <w:r>
          <w:fldChar w:fldCharType="end"/>
        </w:r>
      </w:p>
    </w:sdtContent>
  </w:sdt>
  <w:p w14:paraId="204C3BFA" w14:textId="77777777" w:rsidR="00D0508D" w:rsidRDefault="00D05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85E02" w14:textId="77777777" w:rsidR="00077EA3" w:rsidRDefault="00077EA3" w:rsidP="00077EA3">
      <w:pPr>
        <w:spacing w:after="0" w:line="240" w:lineRule="auto"/>
      </w:pPr>
      <w:r>
        <w:separator/>
      </w:r>
    </w:p>
  </w:footnote>
  <w:footnote w:type="continuationSeparator" w:id="0">
    <w:p w14:paraId="71B0992C" w14:textId="77777777" w:rsidR="00077EA3" w:rsidRDefault="00077EA3" w:rsidP="00077EA3">
      <w:pPr>
        <w:spacing w:after="0" w:line="240" w:lineRule="auto"/>
      </w:pPr>
      <w:r>
        <w:continuationSeparator/>
      </w:r>
    </w:p>
  </w:footnote>
  <w:footnote w:id="1">
    <w:p w14:paraId="1C94D004" w14:textId="77777777" w:rsidR="005D6B03" w:rsidRDefault="005D6B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B03">
        <w:t>European Sustainable Investment Forum</w:t>
      </w:r>
      <w:r>
        <w:t xml:space="preserve"> – ogólnoeuropejska </w:t>
      </w:r>
      <w:r w:rsidR="00995162">
        <w:t>instytucja zajmująca się badaniem i popularyzowaniem inwestowania społecznie odpowiedzialnego.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 Michalak">
    <w15:presenceInfo w15:providerId="Windows Live" w15:userId="ee916d0e73cc36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A3"/>
    <w:rsid w:val="000624E0"/>
    <w:rsid w:val="00077EA3"/>
    <w:rsid w:val="00084E47"/>
    <w:rsid w:val="000B365F"/>
    <w:rsid w:val="000C7899"/>
    <w:rsid w:val="000F26CB"/>
    <w:rsid w:val="0017231E"/>
    <w:rsid w:val="001E5AE1"/>
    <w:rsid w:val="002D483F"/>
    <w:rsid w:val="002F21EA"/>
    <w:rsid w:val="002F5134"/>
    <w:rsid w:val="00327EB3"/>
    <w:rsid w:val="004521F8"/>
    <w:rsid w:val="0046579D"/>
    <w:rsid w:val="004C1B6D"/>
    <w:rsid w:val="004D5A55"/>
    <w:rsid w:val="00500A08"/>
    <w:rsid w:val="005D6B03"/>
    <w:rsid w:val="005E1719"/>
    <w:rsid w:val="00603827"/>
    <w:rsid w:val="00625C76"/>
    <w:rsid w:val="0067420E"/>
    <w:rsid w:val="007055A8"/>
    <w:rsid w:val="00732A5D"/>
    <w:rsid w:val="0078216C"/>
    <w:rsid w:val="00790437"/>
    <w:rsid w:val="00797EB0"/>
    <w:rsid w:val="00811D98"/>
    <w:rsid w:val="00820930"/>
    <w:rsid w:val="008220E5"/>
    <w:rsid w:val="008A4C94"/>
    <w:rsid w:val="008A6EFB"/>
    <w:rsid w:val="008D0BDA"/>
    <w:rsid w:val="00933059"/>
    <w:rsid w:val="00961542"/>
    <w:rsid w:val="009668B5"/>
    <w:rsid w:val="00970EB0"/>
    <w:rsid w:val="00985A36"/>
    <w:rsid w:val="00995162"/>
    <w:rsid w:val="009E10B4"/>
    <w:rsid w:val="009F5B9D"/>
    <w:rsid w:val="009F62A4"/>
    <w:rsid w:val="00A30CAB"/>
    <w:rsid w:val="00A42F53"/>
    <w:rsid w:val="00A7313D"/>
    <w:rsid w:val="00A75016"/>
    <w:rsid w:val="00A75C08"/>
    <w:rsid w:val="00AA5DD2"/>
    <w:rsid w:val="00AB4B6C"/>
    <w:rsid w:val="00B445A4"/>
    <w:rsid w:val="00B553FC"/>
    <w:rsid w:val="00B926D0"/>
    <w:rsid w:val="00C034BC"/>
    <w:rsid w:val="00C26535"/>
    <w:rsid w:val="00C40431"/>
    <w:rsid w:val="00CB2D8C"/>
    <w:rsid w:val="00CB52F0"/>
    <w:rsid w:val="00CC5929"/>
    <w:rsid w:val="00CD48BB"/>
    <w:rsid w:val="00D0508D"/>
    <w:rsid w:val="00D12E4F"/>
    <w:rsid w:val="00D91552"/>
    <w:rsid w:val="00DB2CC7"/>
    <w:rsid w:val="00DF6AFC"/>
    <w:rsid w:val="00DF7BA3"/>
    <w:rsid w:val="00E2504B"/>
    <w:rsid w:val="00E279DA"/>
    <w:rsid w:val="00E83FA0"/>
    <w:rsid w:val="00EB5B5F"/>
    <w:rsid w:val="00EE11B5"/>
    <w:rsid w:val="00F050A0"/>
    <w:rsid w:val="00F63078"/>
    <w:rsid w:val="00F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590E"/>
  <w15:docId w15:val="{76FEE0FA-7602-444A-BEBE-FC7CA9EB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53F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5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D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08D"/>
  </w:style>
  <w:style w:type="paragraph" w:styleId="Stopka">
    <w:name w:val="footer"/>
    <w:basedOn w:val="Normalny"/>
    <w:link w:val="StopkaZnak"/>
    <w:uiPriority w:val="99"/>
    <w:unhideWhenUsed/>
    <w:rsid w:val="00D0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08D"/>
  </w:style>
  <w:style w:type="paragraph" w:styleId="Tekstprzypisudolnego">
    <w:name w:val="footnote text"/>
    <w:basedOn w:val="Normalny"/>
    <w:link w:val="TekstprzypisudolnegoZnak"/>
    <w:semiHidden/>
    <w:unhideWhenUsed/>
    <w:qFormat/>
    <w:rsid w:val="00AB4B6C"/>
    <w:pPr>
      <w:spacing w:after="0" w:line="240" w:lineRule="auto"/>
      <w:ind w:firstLine="340"/>
      <w:jc w:val="both"/>
    </w:pPr>
    <w:rPr>
      <w:rFonts w:ascii="Times New Roman" w:eastAsia="Calibri" w:hAnsi="Times New Roman" w:cs="Times New Roman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4B6C"/>
    <w:rPr>
      <w:rFonts w:ascii="Times New Roman" w:eastAsia="Calibri" w:hAnsi="Times New Roman" w:cs="Times New Roman"/>
      <w:sz w:val="18"/>
      <w:szCs w:val="20"/>
    </w:rPr>
  </w:style>
  <w:style w:type="character" w:styleId="Odwoanieprzypisudolnego">
    <w:name w:val="footnote reference"/>
    <w:uiPriority w:val="99"/>
    <w:semiHidden/>
    <w:rsid w:val="00AB4B6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050A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B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B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B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B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B9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D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rc.org.uk/Our-Work/Publications/Accounting-and-Reporting-Policy/Guidance-on-the-Strategic-Report.pdf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L:\Publikacje\SRI\SRIinU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Arkusz1!$A$1:$A$7</c:f>
              <c:strCache>
                <c:ptCount val="7"/>
                <c:pt idx="0">
                  <c:v>inwestowanie z pozytywnym wpływem* </c:v>
                </c:pt>
                <c:pt idx="1">
                  <c:v>inwestycje zorientowane  na zrównoważony rozwój</c:v>
                </c:pt>
                <c:pt idx="2">
                  <c:v>selekcja najlepszych w danej kategorii</c:v>
                </c:pt>
                <c:pt idx="3">
                  <c:v>selekcja na podstawie norm</c:v>
                </c:pt>
                <c:pt idx="4">
                  <c:v>negatywna selekcja</c:v>
                </c:pt>
                <c:pt idx="5">
                  <c:v>integracja czynników ESG</c:v>
                </c:pt>
                <c:pt idx="6">
                  <c:v>zaangażowanie </c:v>
                </c:pt>
              </c:strCache>
            </c:strRef>
          </c:cat>
          <c:val>
            <c:numRef>
              <c:f>Arkusz1!$B$1:$B$7</c:f>
              <c:numCache>
                <c:formatCode>#,##0</c:formatCode>
                <c:ptCount val="7"/>
                <c:pt idx="0">
                  <c:v>1200</c:v>
                </c:pt>
                <c:pt idx="1">
                  <c:v>2784</c:v>
                </c:pt>
                <c:pt idx="2">
                  <c:v>10737</c:v>
                </c:pt>
                <c:pt idx="3">
                  <c:v>59665</c:v>
                </c:pt>
                <c:pt idx="4">
                  <c:v>394915</c:v>
                </c:pt>
                <c:pt idx="5">
                  <c:v>990536</c:v>
                </c:pt>
                <c:pt idx="6">
                  <c:v>1434050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6D-49B7-8C22-666B103449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25808"/>
        <c:axId val="351626136"/>
      </c:barChart>
      <c:catAx>
        <c:axId val="4025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1626136"/>
        <c:crosses val="autoZero"/>
        <c:auto val="1"/>
        <c:lblAlgn val="ctr"/>
        <c:lblOffset val="100"/>
        <c:noMultiLvlLbl val="0"/>
      </c:catAx>
      <c:valAx>
        <c:axId val="351626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25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29C3AB-690C-4A6D-80DE-52FB5B757475}">
  <we:reference id="wa102920447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9815-0864-485F-B7CB-CA801180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6255</Words>
  <Characters>35657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Michalak</dc:creator>
  <cp:keywords/>
  <dc:description/>
  <cp:lastModifiedBy>Jan Michalak</cp:lastModifiedBy>
  <cp:revision>3</cp:revision>
  <cp:lastPrinted>2016-03-22T15:38:00Z</cp:lastPrinted>
  <dcterms:created xsi:type="dcterms:W3CDTF">2017-04-14T13:53:00Z</dcterms:created>
  <dcterms:modified xsi:type="dcterms:W3CDTF">2017-04-14T13:54:00Z</dcterms:modified>
</cp:coreProperties>
</file>