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523" w:rsidRDefault="00AB571D">
      <w:r>
        <w:t>Errata… tytuł publikacji, autor-redaktor</w:t>
      </w:r>
    </w:p>
    <w:p w:rsidR="00AB571D" w:rsidRDefault="00AB571D"/>
    <w:p w:rsidR="00CD70D5" w:rsidRDefault="00CD70D5" w:rsidP="00CD70D5">
      <w:pPr>
        <w:pStyle w:val="Default"/>
      </w:pPr>
    </w:p>
    <w:p w:rsidR="00CD70D5" w:rsidRDefault="00CD70D5" w:rsidP="00CD70D5">
      <w:pPr>
        <w:pStyle w:val="Pa3"/>
        <w:spacing w:after="240"/>
        <w:jc w:val="center"/>
        <w:rPr>
          <w:color w:val="000000"/>
          <w:sz w:val="12"/>
          <w:szCs w:val="12"/>
        </w:rPr>
      </w:pPr>
      <w:r>
        <w:t xml:space="preserve"> </w:t>
      </w:r>
      <w:r>
        <w:rPr>
          <w:i/>
          <w:iCs/>
          <w:color w:val="000000"/>
          <w:sz w:val="22"/>
          <w:szCs w:val="22"/>
        </w:rPr>
        <w:t xml:space="preserve">Michał </w:t>
      </w:r>
      <w:proofErr w:type="spellStart"/>
      <w:r>
        <w:rPr>
          <w:i/>
          <w:iCs/>
          <w:color w:val="000000"/>
          <w:sz w:val="22"/>
          <w:szCs w:val="22"/>
        </w:rPr>
        <w:t>Soliwoda</w:t>
      </w:r>
      <w:proofErr w:type="spellEnd"/>
      <w:r>
        <w:rPr>
          <w:rStyle w:val="A3"/>
        </w:rPr>
        <w:t>∗</w:t>
      </w:r>
      <w:r>
        <w:rPr>
          <w:rStyle w:val="A3"/>
        </w:rPr>
        <w:t></w:t>
      </w:r>
    </w:p>
    <w:p w:rsidR="00CD70D5" w:rsidRDefault="00CD70D5" w:rsidP="00CD70D5">
      <w:r>
        <w:rPr>
          <w:b/>
          <w:bCs/>
          <w:sz w:val="22"/>
          <w:szCs w:val="22"/>
        </w:rPr>
        <w:t>THE IMPACT OF THE SUPPORT INSTRUMENTS OF THE COMMON AGRICULTURAL POLICY ON ECONOMIC AND FINANCIAL STABILITY OF FARMS IN EU COUNTRIES</w:t>
      </w:r>
    </w:p>
    <w:p w:rsidR="00AB571D" w:rsidRDefault="00AB571D"/>
    <w:p w:rsidR="00B44F26" w:rsidRDefault="00B44F26">
      <w:r>
        <w:t xml:space="preserve">Uwaga: W kolumnie „Powinno być” dodatkowo wprowadziłem </w:t>
      </w:r>
      <w:proofErr w:type="spellStart"/>
      <w:r>
        <w:t>boldowanie</w:t>
      </w:r>
      <w:proofErr w:type="spellEnd"/>
      <w:r>
        <w:t xml:space="preserve"> i </w:t>
      </w:r>
      <w:proofErr w:type="spellStart"/>
      <w:r>
        <w:t>zółte</w:t>
      </w:r>
      <w:proofErr w:type="spellEnd"/>
      <w:r>
        <w:t xml:space="preserve"> tło w celu łatwego „wychwycenia” zmiany.</w:t>
      </w:r>
    </w:p>
    <w:p w:rsidR="00AB571D" w:rsidRDefault="00AB571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20"/>
        <w:gridCol w:w="3784"/>
        <w:gridCol w:w="3784"/>
      </w:tblGrid>
      <w:tr w:rsidR="00AB571D" w:rsidTr="00AB571D">
        <w:tc>
          <w:tcPr>
            <w:tcW w:w="3070" w:type="dxa"/>
          </w:tcPr>
          <w:p w:rsidR="00AB571D" w:rsidRDefault="00AB571D">
            <w:r>
              <w:t>Strona, wiersz (który od góry lub od dołu kolumny)</w:t>
            </w:r>
          </w:p>
        </w:tc>
        <w:tc>
          <w:tcPr>
            <w:tcW w:w="3071" w:type="dxa"/>
          </w:tcPr>
          <w:p w:rsidR="00AB571D" w:rsidRDefault="00AB571D">
            <w:r>
              <w:t xml:space="preserve">Jest </w:t>
            </w:r>
          </w:p>
        </w:tc>
        <w:tc>
          <w:tcPr>
            <w:tcW w:w="3071" w:type="dxa"/>
          </w:tcPr>
          <w:p w:rsidR="00AB571D" w:rsidRDefault="00AB571D">
            <w:r>
              <w:t>Powinno być</w:t>
            </w:r>
          </w:p>
        </w:tc>
      </w:tr>
      <w:tr w:rsidR="00AB571D" w:rsidTr="00AB571D">
        <w:tc>
          <w:tcPr>
            <w:tcW w:w="3070" w:type="dxa"/>
          </w:tcPr>
          <w:p w:rsidR="00AB571D" w:rsidRDefault="00AB571D">
            <w:pPr>
              <w:rPr>
                <w:color w:val="FF0000"/>
              </w:rPr>
            </w:pPr>
            <w:r>
              <w:rPr>
                <w:color w:val="FF0000"/>
              </w:rPr>
              <w:t>Np.</w:t>
            </w:r>
          </w:p>
          <w:p w:rsidR="00AB571D" w:rsidRPr="00AB571D" w:rsidRDefault="00AB571D">
            <w:pPr>
              <w:rPr>
                <w:color w:val="FF0000"/>
              </w:rPr>
            </w:pPr>
            <w:r>
              <w:rPr>
                <w:color w:val="FF0000"/>
              </w:rPr>
              <w:t>7, 2 w. od g</w:t>
            </w:r>
          </w:p>
        </w:tc>
        <w:tc>
          <w:tcPr>
            <w:tcW w:w="3071" w:type="dxa"/>
          </w:tcPr>
          <w:p w:rsidR="00AB571D" w:rsidRDefault="00AB571D" w:rsidP="00AB571D">
            <w:pPr>
              <w:pStyle w:val="Akapitzlist"/>
              <w:numPr>
                <w:ilvl w:val="0"/>
                <w:numId w:val="1"/>
              </w:numPr>
            </w:pPr>
            <w:r>
              <w:t>Malinowska</w:t>
            </w:r>
          </w:p>
        </w:tc>
        <w:tc>
          <w:tcPr>
            <w:tcW w:w="3071" w:type="dxa"/>
          </w:tcPr>
          <w:p w:rsidR="00AB571D" w:rsidRDefault="00AB571D" w:rsidP="00AB571D">
            <w:pPr>
              <w:pStyle w:val="Akapitzlist"/>
              <w:numPr>
                <w:ilvl w:val="0"/>
                <w:numId w:val="2"/>
              </w:numPr>
            </w:pPr>
            <w:r>
              <w:t>Malinowska</w:t>
            </w:r>
          </w:p>
        </w:tc>
      </w:tr>
      <w:tr w:rsidR="00AB571D" w:rsidTr="00AB571D">
        <w:tc>
          <w:tcPr>
            <w:tcW w:w="3070" w:type="dxa"/>
          </w:tcPr>
          <w:p w:rsidR="00AB571D" w:rsidRDefault="00CD70D5">
            <w:r>
              <w:t>128, w. pod tabelą</w:t>
            </w:r>
          </w:p>
          <w:p w:rsidR="00CD70D5" w:rsidRDefault="00CD70D5">
            <w:proofErr w:type="spellStart"/>
            <w:r>
              <w:t>Note</w:t>
            </w:r>
            <w:proofErr w:type="spellEnd"/>
            <w:r>
              <w:t>:…</w:t>
            </w:r>
          </w:p>
          <w:p w:rsidR="008728B2" w:rsidRDefault="008728B2"/>
        </w:tc>
        <w:tc>
          <w:tcPr>
            <w:tcW w:w="3071" w:type="dxa"/>
          </w:tcPr>
          <w:p w:rsidR="00AB571D" w:rsidRDefault="00CD70D5">
            <w:proofErr w:type="spellStart"/>
            <w:r>
              <w:rPr>
                <w:color w:val="000000"/>
                <w:sz w:val="18"/>
                <w:szCs w:val="18"/>
              </w:rPr>
              <w:t>Note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: model </w:t>
            </w:r>
            <w:proofErr w:type="spellStart"/>
            <w:r>
              <w:rPr>
                <w:color w:val="000000"/>
                <w:sz w:val="18"/>
                <w:szCs w:val="18"/>
              </w:rPr>
              <w:t>descriptiona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as in the </w:t>
            </w:r>
            <w:proofErr w:type="spellStart"/>
            <w:r>
              <w:rPr>
                <w:color w:val="000000"/>
                <w:sz w:val="18"/>
                <w:szCs w:val="18"/>
              </w:rPr>
              <w:t>previous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table</w:t>
            </w:r>
            <w:proofErr w:type="spellEnd"/>
            <w:r>
              <w:rPr>
                <w:color w:val="000000"/>
                <w:sz w:val="18"/>
                <w:szCs w:val="18"/>
              </w:rPr>
              <w:t>.;</w:t>
            </w:r>
          </w:p>
        </w:tc>
        <w:tc>
          <w:tcPr>
            <w:tcW w:w="3071" w:type="dxa"/>
          </w:tcPr>
          <w:p w:rsidR="00AB571D" w:rsidRDefault="00CD70D5">
            <w:proofErr w:type="spellStart"/>
            <w:r>
              <w:t>Note</w:t>
            </w:r>
            <w:proofErr w:type="spellEnd"/>
            <w:r>
              <w:t xml:space="preserve">: </w:t>
            </w:r>
            <w:proofErr w:type="spellStart"/>
            <w:r w:rsidRPr="008728B2">
              <w:rPr>
                <w:highlight w:val="yellow"/>
              </w:rPr>
              <w:t>described</w:t>
            </w:r>
            <w:proofErr w:type="spellEnd"/>
            <w:r>
              <w:t xml:space="preserve"> as in the </w:t>
            </w:r>
            <w:proofErr w:type="spellStart"/>
            <w:r>
              <w:t>previous</w:t>
            </w:r>
            <w:proofErr w:type="spellEnd"/>
            <w:r>
              <w:t xml:space="preserve"> </w:t>
            </w:r>
            <w:proofErr w:type="spellStart"/>
            <w:r>
              <w:t>table</w:t>
            </w:r>
            <w:proofErr w:type="spellEnd"/>
            <w:r>
              <w:t>.</w:t>
            </w:r>
          </w:p>
        </w:tc>
      </w:tr>
      <w:tr w:rsidR="00AB571D" w:rsidTr="00AB571D">
        <w:tc>
          <w:tcPr>
            <w:tcW w:w="3070" w:type="dxa"/>
          </w:tcPr>
          <w:p w:rsidR="00AB571D" w:rsidRDefault="00CD70D5">
            <w:proofErr w:type="spellStart"/>
            <w:r>
              <w:t>Abstract</w:t>
            </w:r>
            <w:proofErr w:type="spellEnd"/>
            <w:r w:rsidR="005B5083">
              <w:t xml:space="preserve"> (I akapit pod tytułem)</w:t>
            </w:r>
          </w:p>
          <w:p w:rsidR="005B5083" w:rsidRDefault="005B5083">
            <w:r>
              <w:t>w. 10 i w.11</w:t>
            </w:r>
          </w:p>
          <w:p w:rsidR="00CD70D5" w:rsidRDefault="00CD70D5" w:rsidP="005B5083">
            <w:pPr>
              <w:jc w:val="right"/>
            </w:pPr>
          </w:p>
        </w:tc>
        <w:tc>
          <w:tcPr>
            <w:tcW w:w="3071" w:type="dxa"/>
          </w:tcPr>
          <w:p w:rsidR="005B5083" w:rsidRPr="005B5083" w:rsidRDefault="00641F3F" w:rsidP="005B50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…</w:t>
            </w:r>
            <w:r w:rsidR="005B5083" w:rsidRPr="005B5083">
              <w:rPr>
                <w:color w:val="000000"/>
                <w:sz w:val="16"/>
                <w:szCs w:val="16"/>
              </w:rPr>
              <w:t xml:space="preserve">The dynamics of </w:t>
            </w:r>
            <w:proofErr w:type="spellStart"/>
            <w:r w:rsidR="005B5083" w:rsidRPr="005B5083">
              <w:rPr>
                <w:color w:val="000000"/>
                <w:sz w:val="16"/>
                <w:szCs w:val="16"/>
              </w:rPr>
              <w:t>changes</w:t>
            </w:r>
            <w:proofErr w:type="spellEnd"/>
            <w:r w:rsidR="005B5083" w:rsidRPr="005B5083">
              <w:rPr>
                <w:color w:val="000000"/>
                <w:sz w:val="16"/>
                <w:szCs w:val="16"/>
              </w:rPr>
              <w:t xml:space="preserve"> was </w:t>
            </w:r>
            <w:proofErr w:type="spellStart"/>
            <w:r w:rsidR="005B5083" w:rsidRPr="005B5083">
              <w:rPr>
                <w:color w:val="000000"/>
                <w:sz w:val="16"/>
                <w:szCs w:val="16"/>
              </w:rPr>
              <w:t>ana</w:t>
            </w:r>
            <w:proofErr w:type="spellEnd"/>
          </w:p>
          <w:p w:rsidR="005B5083" w:rsidRPr="005B5083" w:rsidRDefault="005B5083" w:rsidP="005B5083">
            <w:pPr>
              <w:rPr>
                <w:sz w:val="16"/>
                <w:szCs w:val="16"/>
              </w:rPr>
            </w:pPr>
            <w:proofErr w:type="spellStart"/>
            <w:r w:rsidRPr="005B5083">
              <w:rPr>
                <w:color w:val="000000"/>
                <w:sz w:val="16"/>
                <w:szCs w:val="16"/>
              </w:rPr>
              <w:t>lysed</w:t>
            </w:r>
            <w:proofErr w:type="spellEnd"/>
            <w:r w:rsidRPr="005B5083">
              <w:rPr>
                <w:color w:val="000000"/>
                <w:sz w:val="16"/>
                <w:szCs w:val="16"/>
              </w:rPr>
              <w:t xml:space="preserve"> for </w:t>
            </w:r>
            <w:proofErr w:type="spellStart"/>
            <w:r w:rsidRPr="005B5083">
              <w:rPr>
                <w:color w:val="000000"/>
                <w:sz w:val="16"/>
                <w:szCs w:val="16"/>
              </w:rPr>
              <w:t>years</w:t>
            </w:r>
            <w:proofErr w:type="spellEnd"/>
            <w:r w:rsidRPr="005B5083">
              <w:rPr>
                <w:color w:val="000000"/>
                <w:sz w:val="16"/>
                <w:szCs w:val="16"/>
              </w:rPr>
              <w:t xml:space="preserve"> </w:t>
            </w:r>
            <w:r w:rsidRPr="005B5083">
              <w:rPr>
                <w:b/>
                <w:color w:val="000000"/>
                <w:sz w:val="16"/>
                <w:szCs w:val="16"/>
              </w:rPr>
              <w:t>2005</w:t>
            </w:r>
            <w:r w:rsidRPr="005B5083">
              <w:rPr>
                <w:color w:val="000000"/>
                <w:sz w:val="16"/>
                <w:szCs w:val="16"/>
              </w:rPr>
              <w:t xml:space="preserve"> and 2012</w:t>
            </w:r>
          </w:p>
          <w:p w:rsidR="00AB571D" w:rsidRDefault="00AB571D"/>
        </w:tc>
        <w:tc>
          <w:tcPr>
            <w:tcW w:w="3071" w:type="dxa"/>
          </w:tcPr>
          <w:p w:rsidR="005B5083" w:rsidRPr="005B5083" w:rsidRDefault="005B5083" w:rsidP="005B5083">
            <w:pPr>
              <w:jc w:val="right"/>
              <w:rPr>
                <w:color w:val="000000"/>
                <w:sz w:val="16"/>
                <w:szCs w:val="16"/>
              </w:rPr>
            </w:pPr>
            <w:r w:rsidRPr="005B5083">
              <w:rPr>
                <w:color w:val="000000"/>
                <w:sz w:val="16"/>
                <w:szCs w:val="16"/>
              </w:rPr>
              <w:t xml:space="preserve">The dynamics of </w:t>
            </w:r>
            <w:proofErr w:type="spellStart"/>
            <w:r w:rsidRPr="005B5083">
              <w:rPr>
                <w:color w:val="000000"/>
                <w:sz w:val="16"/>
                <w:szCs w:val="16"/>
              </w:rPr>
              <w:t>changes</w:t>
            </w:r>
            <w:proofErr w:type="spellEnd"/>
            <w:r w:rsidRPr="005B5083">
              <w:rPr>
                <w:color w:val="000000"/>
                <w:sz w:val="16"/>
                <w:szCs w:val="16"/>
              </w:rPr>
              <w:t xml:space="preserve"> was </w:t>
            </w:r>
            <w:proofErr w:type="spellStart"/>
            <w:r w:rsidRPr="005B5083">
              <w:rPr>
                <w:color w:val="000000"/>
                <w:sz w:val="16"/>
                <w:szCs w:val="16"/>
              </w:rPr>
              <w:t>ana</w:t>
            </w:r>
            <w:proofErr w:type="spellEnd"/>
          </w:p>
          <w:p w:rsidR="005B5083" w:rsidRPr="005B5083" w:rsidRDefault="005B5083" w:rsidP="005B5083">
            <w:pPr>
              <w:rPr>
                <w:sz w:val="16"/>
                <w:szCs w:val="16"/>
              </w:rPr>
            </w:pPr>
            <w:proofErr w:type="spellStart"/>
            <w:r w:rsidRPr="005B5083">
              <w:rPr>
                <w:color w:val="000000"/>
                <w:sz w:val="16"/>
                <w:szCs w:val="16"/>
              </w:rPr>
              <w:t>lysed</w:t>
            </w:r>
            <w:proofErr w:type="spellEnd"/>
            <w:r w:rsidRPr="005B5083">
              <w:rPr>
                <w:color w:val="000000"/>
                <w:sz w:val="16"/>
                <w:szCs w:val="16"/>
              </w:rPr>
              <w:t xml:space="preserve"> for </w:t>
            </w:r>
            <w:proofErr w:type="spellStart"/>
            <w:r w:rsidRPr="005B5083">
              <w:rPr>
                <w:color w:val="000000"/>
                <w:sz w:val="16"/>
                <w:szCs w:val="16"/>
              </w:rPr>
              <w:t>years</w:t>
            </w:r>
            <w:proofErr w:type="spellEnd"/>
            <w:r w:rsidRPr="005B5083">
              <w:rPr>
                <w:color w:val="000000"/>
                <w:sz w:val="16"/>
                <w:szCs w:val="16"/>
              </w:rPr>
              <w:t xml:space="preserve"> </w:t>
            </w:r>
            <w:r w:rsidRPr="00B44F26">
              <w:rPr>
                <w:b/>
                <w:color w:val="000000"/>
                <w:sz w:val="16"/>
                <w:szCs w:val="16"/>
                <w:highlight w:val="yellow"/>
              </w:rPr>
              <w:t>2007</w:t>
            </w:r>
            <w:r w:rsidRPr="005B5083">
              <w:rPr>
                <w:color w:val="000000"/>
                <w:sz w:val="16"/>
                <w:szCs w:val="16"/>
              </w:rPr>
              <w:t xml:space="preserve"> and 2012</w:t>
            </w:r>
          </w:p>
          <w:p w:rsidR="00AB571D" w:rsidRDefault="00AB571D"/>
        </w:tc>
      </w:tr>
      <w:tr w:rsidR="00AB571D" w:rsidTr="00AB571D">
        <w:tc>
          <w:tcPr>
            <w:tcW w:w="3070" w:type="dxa"/>
          </w:tcPr>
          <w:p w:rsidR="00AB571D" w:rsidRDefault="00CD70D5">
            <w:r>
              <w:t>Abstrakt</w:t>
            </w:r>
          </w:p>
          <w:p w:rsidR="005B5083" w:rsidRDefault="005B5083">
            <w:r>
              <w:t>s. 132</w:t>
            </w:r>
          </w:p>
          <w:p w:rsidR="005B5083" w:rsidRDefault="005B5083">
            <w:r>
              <w:t>w. 1</w:t>
            </w:r>
          </w:p>
        </w:tc>
        <w:tc>
          <w:tcPr>
            <w:tcW w:w="3071" w:type="dxa"/>
          </w:tcPr>
          <w:p w:rsidR="00AB571D" w:rsidRPr="005B5083" w:rsidRDefault="005B5083">
            <w:pPr>
              <w:rPr>
                <w:sz w:val="16"/>
                <w:szCs w:val="16"/>
              </w:rPr>
            </w:pPr>
            <w:r w:rsidRPr="005B5083">
              <w:rPr>
                <w:color w:val="000000"/>
                <w:sz w:val="16"/>
                <w:szCs w:val="16"/>
              </w:rPr>
              <w:t xml:space="preserve">Data Network (FADN). </w:t>
            </w:r>
            <w:r w:rsidRPr="005B5083">
              <w:rPr>
                <w:color w:val="000000"/>
                <w:sz w:val="16"/>
                <w:szCs w:val="16"/>
              </w:rPr>
              <w:t>Dynamikę zmian analizowano dla lat 2005 i 2012.</w:t>
            </w:r>
          </w:p>
        </w:tc>
        <w:tc>
          <w:tcPr>
            <w:tcW w:w="3071" w:type="dxa"/>
          </w:tcPr>
          <w:p w:rsidR="00AB571D" w:rsidRPr="005B5083" w:rsidRDefault="005B5083">
            <w:pPr>
              <w:rPr>
                <w:sz w:val="16"/>
                <w:szCs w:val="16"/>
              </w:rPr>
            </w:pPr>
            <w:r w:rsidRPr="005B5083">
              <w:rPr>
                <w:color w:val="000000"/>
                <w:sz w:val="16"/>
                <w:szCs w:val="16"/>
              </w:rPr>
              <w:t>Data Network (FADN). Dynamikę</w:t>
            </w:r>
            <w:r w:rsidR="00B44F26">
              <w:rPr>
                <w:color w:val="000000"/>
                <w:sz w:val="16"/>
                <w:szCs w:val="16"/>
              </w:rPr>
              <w:t xml:space="preserve"> zmian analizowano dla lat</w:t>
            </w:r>
            <w:r w:rsidR="00B44F26" w:rsidRPr="00B44F26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B44F26" w:rsidRPr="00B44F26">
              <w:rPr>
                <w:b/>
                <w:color w:val="000000"/>
                <w:sz w:val="16"/>
                <w:szCs w:val="16"/>
                <w:highlight w:val="yellow"/>
              </w:rPr>
              <w:t>2007</w:t>
            </w:r>
            <w:r w:rsidR="00B44F26">
              <w:rPr>
                <w:color w:val="000000"/>
                <w:sz w:val="16"/>
                <w:szCs w:val="16"/>
              </w:rPr>
              <w:t xml:space="preserve"> </w:t>
            </w:r>
            <w:r w:rsidRPr="005B5083">
              <w:rPr>
                <w:color w:val="000000"/>
                <w:sz w:val="16"/>
                <w:szCs w:val="16"/>
              </w:rPr>
              <w:t xml:space="preserve"> i 2012.</w:t>
            </w:r>
          </w:p>
        </w:tc>
      </w:tr>
      <w:tr w:rsidR="00AB571D" w:rsidTr="00AB571D">
        <w:tc>
          <w:tcPr>
            <w:tcW w:w="3070" w:type="dxa"/>
          </w:tcPr>
          <w:p w:rsidR="00AB571D" w:rsidRDefault="005B5083">
            <w:r>
              <w:t>s.130</w:t>
            </w:r>
          </w:p>
          <w:p w:rsidR="005B5083" w:rsidRDefault="005B5083">
            <w:r>
              <w:t>(5 pierwszych akapitów – pozycji lit. – na górze)</w:t>
            </w:r>
          </w:p>
          <w:p w:rsidR="005B5083" w:rsidRDefault="005B5083">
            <w:r>
              <w:t>Braki litery przy wielu pozycjach tego samego autorstwa w „</w:t>
            </w:r>
            <w:proofErr w:type="spellStart"/>
            <w:r>
              <w:t>References</w:t>
            </w:r>
            <w:proofErr w:type="spellEnd"/>
            <w:r>
              <w:t>”</w:t>
            </w:r>
          </w:p>
        </w:tc>
        <w:tc>
          <w:tcPr>
            <w:tcW w:w="3071" w:type="dxa"/>
          </w:tcPr>
          <w:p w:rsidR="005B5083" w:rsidRDefault="005B5083" w:rsidP="005B5083">
            <w:pPr>
              <w:pStyle w:val="Pa23"/>
              <w:ind w:left="380" w:hanging="380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European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Commission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(2014),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Community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Committee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For The Farm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Accountancy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Data Network (FADN)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Definitions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of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Variables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in FADN standard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results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(http://fadn.pl/wp-content/ </w:t>
            </w:r>
            <w:proofErr w:type="spellStart"/>
            <w:r>
              <w:rPr>
                <w:color w:val="000000"/>
                <w:sz w:val="18"/>
                <w:szCs w:val="18"/>
              </w:rPr>
              <w:t>uploads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/2012/12/RICC-882-rev9.2-Definitions-of-Variables.pdf, </w:t>
            </w:r>
            <w:proofErr w:type="spellStart"/>
            <w:r>
              <w:rPr>
                <w:color w:val="000000"/>
                <w:sz w:val="18"/>
                <w:szCs w:val="18"/>
              </w:rPr>
              <w:t>retrieved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: 10.07.2015). </w:t>
            </w:r>
          </w:p>
          <w:p w:rsidR="00AB571D" w:rsidRDefault="005B5083" w:rsidP="005B5083">
            <w:pPr>
              <w:ind w:left="332" w:hanging="332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European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Commission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(2014),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The EU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explained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Agriculture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. A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partnership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between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Europe and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farmers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. The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EU’s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common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agricultural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policy (CAP): for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our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food, for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our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countrysi</w:t>
            </w:r>
            <w:r>
              <w:rPr>
                <w:i/>
                <w:iCs/>
                <w:color w:val="000000"/>
                <w:sz w:val="18"/>
                <w:szCs w:val="18"/>
              </w:rPr>
              <w:softHyphen/>
              <w:t>de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, for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our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environment, </w:t>
            </w:r>
            <w:r>
              <w:rPr>
                <w:color w:val="000000"/>
                <w:sz w:val="18"/>
                <w:szCs w:val="18"/>
              </w:rPr>
              <w:t>http://ec.europa.eu/agriculture/cap-overview/2014_en.pdf (</w:t>
            </w:r>
            <w:proofErr w:type="spellStart"/>
            <w:r>
              <w:rPr>
                <w:color w:val="000000"/>
                <w:sz w:val="18"/>
                <w:szCs w:val="18"/>
              </w:rPr>
              <w:t>retrieved</w:t>
            </w:r>
            <w:proofErr w:type="spellEnd"/>
            <w:r>
              <w:rPr>
                <w:color w:val="000000"/>
                <w:sz w:val="18"/>
                <w:szCs w:val="18"/>
              </w:rPr>
              <w:t>: 10.07.2015).</w:t>
            </w:r>
          </w:p>
          <w:p w:rsidR="005B5083" w:rsidRDefault="005B5083" w:rsidP="00B44F26">
            <w:pPr>
              <w:pStyle w:val="Pa23"/>
              <w:ind w:left="337" w:hanging="337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European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Commission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Agriculture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and </w:t>
            </w:r>
            <w:proofErr w:type="spellStart"/>
            <w:r>
              <w:rPr>
                <w:color w:val="000000"/>
                <w:sz w:val="18"/>
                <w:szCs w:val="18"/>
              </w:rPr>
              <w:t>Rural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Development (2015),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Farm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Accountancy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Data Ne</w:t>
            </w:r>
            <w:r>
              <w:rPr>
                <w:i/>
                <w:iCs/>
                <w:color w:val="000000"/>
                <w:sz w:val="18"/>
                <w:szCs w:val="18"/>
              </w:rPr>
              <w:softHyphen/>
              <w:t>twork</w:t>
            </w:r>
            <w:r>
              <w:rPr>
                <w:color w:val="000000"/>
                <w:sz w:val="18"/>
                <w:szCs w:val="18"/>
              </w:rPr>
              <w:t>, http://ec.europa.eu/agriculture/ricaprod/concept_en.cfm (</w:t>
            </w:r>
            <w:proofErr w:type="spellStart"/>
            <w:r>
              <w:rPr>
                <w:color w:val="000000"/>
                <w:sz w:val="18"/>
                <w:szCs w:val="18"/>
              </w:rPr>
              <w:t>retrieved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: 10.07.2015). </w:t>
            </w:r>
          </w:p>
          <w:p w:rsidR="005B5083" w:rsidRDefault="005B5083" w:rsidP="00B44F26">
            <w:pPr>
              <w:pStyle w:val="Pa23"/>
              <w:ind w:left="337" w:hanging="337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European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Commission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Agriculture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and </w:t>
            </w:r>
            <w:proofErr w:type="spellStart"/>
            <w:r>
              <w:rPr>
                <w:color w:val="000000"/>
                <w:sz w:val="18"/>
                <w:szCs w:val="18"/>
              </w:rPr>
              <w:t>Rural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Development (2015),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Health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Check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of the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Common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Agricultural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Policy. </w:t>
            </w:r>
          </w:p>
          <w:p w:rsidR="005B5083" w:rsidRDefault="005B5083" w:rsidP="00B44F26">
            <w:pPr>
              <w:ind w:left="337" w:hanging="337"/>
              <w:jc w:val="both"/>
            </w:pPr>
            <w:proofErr w:type="spellStart"/>
            <w:r>
              <w:rPr>
                <w:color w:val="000000"/>
                <w:sz w:val="18"/>
                <w:szCs w:val="18"/>
              </w:rPr>
              <w:t>European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Commission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Agriculture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and </w:t>
            </w:r>
            <w:proofErr w:type="spellStart"/>
            <w:r>
              <w:rPr>
                <w:color w:val="000000"/>
                <w:sz w:val="18"/>
                <w:szCs w:val="18"/>
              </w:rPr>
              <w:t>Rural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Development (2015),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History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of the CAP, </w:t>
            </w:r>
            <w:r>
              <w:rPr>
                <w:color w:val="000000"/>
                <w:sz w:val="18"/>
                <w:szCs w:val="18"/>
              </w:rPr>
              <w:t>http:// ec.europa.eu/</w:t>
            </w:r>
            <w:proofErr w:type="spellStart"/>
            <w:r>
              <w:rPr>
                <w:color w:val="000000"/>
                <w:sz w:val="18"/>
                <w:szCs w:val="18"/>
              </w:rPr>
              <w:t>agriculture</w:t>
            </w:r>
            <w:proofErr w:type="spellEnd"/>
            <w:r>
              <w:rPr>
                <w:color w:val="000000"/>
                <w:sz w:val="18"/>
                <w:szCs w:val="18"/>
              </w:rPr>
              <w:t>/cap-</w:t>
            </w:r>
            <w:proofErr w:type="spellStart"/>
            <w:r>
              <w:rPr>
                <w:color w:val="000000"/>
                <w:sz w:val="18"/>
                <w:szCs w:val="18"/>
              </w:rPr>
              <w:t>history</w:t>
            </w:r>
            <w:proofErr w:type="spellEnd"/>
            <w:r>
              <w:rPr>
                <w:color w:val="000000"/>
                <w:sz w:val="18"/>
                <w:szCs w:val="18"/>
              </w:rPr>
              <w:t>/index_en.htm (</w:t>
            </w:r>
            <w:proofErr w:type="spellStart"/>
            <w:r>
              <w:rPr>
                <w:color w:val="000000"/>
                <w:sz w:val="18"/>
                <w:szCs w:val="18"/>
              </w:rPr>
              <w:t>retrieved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: </w:t>
            </w:r>
            <w:r>
              <w:rPr>
                <w:color w:val="000000"/>
                <w:sz w:val="18"/>
                <w:szCs w:val="18"/>
              </w:rPr>
              <w:lastRenderedPageBreak/>
              <w:t>10.07.2015).</w:t>
            </w:r>
          </w:p>
          <w:p w:rsidR="005B5083" w:rsidRDefault="005B5083"/>
        </w:tc>
        <w:tc>
          <w:tcPr>
            <w:tcW w:w="3071" w:type="dxa"/>
          </w:tcPr>
          <w:p w:rsidR="005B5083" w:rsidRDefault="005B5083" w:rsidP="005B5083">
            <w:pPr>
              <w:pStyle w:val="Pa23"/>
              <w:ind w:left="380" w:hanging="380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European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Commission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(2014</w:t>
            </w:r>
            <w:r w:rsidRPr="00B44F26">
              <w:rPr>
                <w:b/>
                <w:color w:val="000000"/>
                <w:sz w:val="18"/>
                <w:szCs w:val="18"/>
                <w:highlight w:val="yellow"/>
              </w:rPr>
              <w:t>a</w:t>
            </w:r>
            <w:r>
              <w:rPr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Community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Committee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For The Farm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Accountancy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Data Network (FADN)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Definitions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of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Variables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in FADN standard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results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(http://fadn.pl/wp-content/ </w:t>
            </w:r>
            <w:proofErr w:type="spellStart"/>
            <w:r>
              <w:rPr>
                <w:color w:val="000000"/>
                <w:sz w:val="18"/>
                <w:szCs w:val="18"/>
              </w:rPr>
              <w:t>uploads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/2012/12/RICC-882-rev9.2-Definitions-of-Variables.pdf, </w:t>
            </w:r>
            <w:proofErr w:type="spellStart"/>
            <w:r>
              <w:rPr>
                <w:color w:val="000000"/>
                <w:sz w:val="18"/>
                <w:szCs w:val="18"/>
              </w:rPr>
              <w:t>retrieved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: 10.07.2015). </w:t>
            </w:r>
          </w:p>
          <w:p w:rsidR="005B5083" w:rsidRDefault="005B5083" w:rsidP="005B5083">
            <w:pPr>
              <w:ind w:left="380" w:hanging="380"/>
            </w:pPr>
            <w:proofErr w:type="spellStart"/>
            <w:r>
              <w:rPr>
                <w:color w:val="000000"/>
                <w:sz w:val="18"/>
                <w:szCs w:val="18"/>
              </w:rPr>
              <w:t>European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Commission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(2014</w:t>
            </w:r>
            <w:r w:rsidRPr="00B44F26">
              <w:rPr>
                <w:b/>
                <w:color w:val="000000"/>
                <w:sz w:val="18"/>
                <w:szCs w:val="18"/>
                <w:highlight w:val="yellow"/>
              </w:rPr>
              <w:t>b</w:t>
            </w:r>
            <w:r>
              <w:rPr>
                <w:color w:val="000000"/>
                <w:sz w:val="18"/>
                <w:szCs w:val="18"/>
              </w:rPr>
              <w:t xml:space="preserve">),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The EU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explained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Agriculture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. A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partnership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between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Europe and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farmers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. The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EU’s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common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agricultural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policy (CAP): for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our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food, for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our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countrysi</w:t>
            </w:r>
            <w:r>
              <w:rPr>
                <w:i/>
                <w:iCs/>
                <w:color w:val="000000"/>
                <w:sz w:val="18"/>
                <w:szCs w:val="18"/>
              </w:rPr>
              <w:softHyphen/>
              <w:t>de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, for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our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environment, </w:t>
            </w:r>
            <w:r>
              <w:rPr>
                <w:color w:val="000000"/>
                <w:sz w:val="18"/>
                <w:szCs w:val="18"/>
              </w:rPr>
              <w:t>http://ec.europa.eu/agriculture/cap-overview/2014_en.pdf (</w:t>
            </w:r>
            <w:proofErr w:type="spellStart"/>
            <w:r>
              <w:rPr>
                <w:color w:val="000000"/>
                <w:sz w:val="18"/>
                <w:szCs w:val="18"/>
              </w:rPr>
              <w:t>retrieved</w:t>
            </w:r>
            <w:proofErr w:type="spellEnd"/>
            <w:r>
              <w:rPr>
                <w:color w:val="000000"/>
                <w:sz w:val="18"/>
                <w:szCs w:val="18"/>
              </w:rPr>
              <w:t>: 10.07.2015).</w:t>
            </w:r>
          </w:p>
          <w:p w:rsidR="005B5083" w:rsidRDefault="005B5083" w:rsidP="00B44F26">
            <w:pPr>
              <w:pStyle w:val="Pa23"/>
              <w:ind w:left="415" w:hanging="415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European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Commission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Agriculture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and </w:t>
            </w:r>
            <w:proofErr w:type="spellStart"/>
            <w:r>
              <w:rPr>
                <w:color w:val="000000"/>
                <w:sz w:val="18"/>
                <w:szCs w:val="18"/>
              </w:rPr>
              <w:t>Rural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Development (2015</w:t>
            </w:r>
            <w:r w:rsidR="00B44F26" w:rsidRPr="00B44F26">
              <w:rPr>
                <w:b/>
                <w:color w:val="000000"/>
                <w:sz w:val="18"/>
                <w:szCs w:val="18"/>
                <w:highlight w:val="yellow"/>
              </w:rPr>
              <w:t>a</w:t>
            </w:r>
            <w:r>
              <w:rPr>
                <w:color w:val="000000"/>
                <w:sz w:val="18"/>
                <w:szCs w:val="18"/>
              </w:rPr>
              <w:t xml:space="preserve">),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Farm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Accountancy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Data Ne</w:t>
            </w:r>
            <w:r>
              <w:rPr>
                <w:i/>
                <w:iCs/>
                <w:color w:val="000000"/>
                <w:sz w:val="18"/>
                <w:szCs w:val="18"/>
              </w:rPr>
              <w:softHyphen/>
              <w:t>twork</w:t>
            </w:r>
            <w:r>
              <w:rPr>
                <w:color w:val="000000"/>
                <w:sz w:val="18"/>
                <w:szCs w:val="18"/>
              </w:rPr>
              <w:t>, http://ec.europa.eu/agriculture/ricaprod/concept_en.cfm (</w:t>
            </w:r>
            <w:proofErr w:type="spellStart"/>
            <w:r>
              <w:rPr>
                <w:color w:val="000000"/>
                <w:sz w:val="18"/>
                <w:szCs w:val="18"/>
              </w:rPr>
              <w:t>retrieved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: 10.07.2015). </w:t>
            </w:r>
          </w:p>
          <w:p w:rsidR="005B5083" w:rsidRDefault="005B5083" w:rsidP="00B44F26">
            <w:pPr>
              <w:pStyle w:val="Pa23"/>
              <w:ind w:left="415" w:hanging="415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European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Commission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Agriculture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and </w:t>
            </w:r>
            <w:proofErr w:type="spellStart"/>
            <w:r>
              <w:rPr>
                <w:color w:val="000000"/>
                <w:sz w:val="18"/>
                <w:szCs w:val="18"/>
              </w:rPr>
              <w:t>Rural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Development (</w:t>
            </w:r>
            <w:r w:rsidRPr="00B44F26">
              <w:rPr>
                <w:b/>
                <w:color w:val="000000"/>
                <w:sz w:val="18"/>
                <w:szCs w:val="18"/>
              </w:rPr>
              <w:t>2015</w:t>
            </w:r>
            <w:r w:rsidR="00B44F26" w:rsidRPr="00B44F26">
              <w:rPr>
                <w:b/>
                <w:color w:val="000000"/>
                <w:sz w:val="18"/>
                <w:szCs w:val="18"/>
                <w:highlight w:val="yellow"/>
              </w:rPr>
              <w:t>b</w:t>
            </w:r>
            <w:r>
              <w:rPr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Health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Check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of the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Common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Agricultural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Policy. </w:t>
            </w:r>
          </w:p>
          <w:p w:rsidR="00AB571D" w:rsidRDefault="005B5083" w:rsidP="00B44F26">
            <w:pPr>
              <w:ind w:left="415" w:hanging="415"/>
              <w:jc w:val="both"/>
            </w:pPr>
            <w:proofErr w:type="spellStart"/>
            <w:r>
              <w:rPr>
                <w:color w:val="000000"/>
                <w:sz w:val="18"/>
                <w:szCs w:val="18"/>
              </w:rPr>
              <w:t>European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Commission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Agriculture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and </w:t>
            </w:r>
            <w:proofErr w:type="spellStart"/>
            <w:r>
              <w:rPr>
                <w:color w:val="000000"/>
                <w:sz w:val="18"/>
                <w:szCs w:val="18"/>
              </w:rPr>
              <w:t>Rural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Development (2015</w:t>
            </w:r>
            <w:r w:rsidR="00B44F26" w:rsidRPr="00B44F26">
              <w:rPr>
                <w:b/>
                <w:color w:val="000000"/>
                <w:sz w:val="18"/>
                <w:szCs w:val="18"/>
                <w:highlight w:val="yellow"/>
              </w:rPr>
              <w:t>c</w:t>
            </w:r>
            <w:r>
              <w:rPr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History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of the CAP, </w:t>
            </w:r>
            <w:r>
              <w:rPr>
                <w:color w:val="000000"/>
                <w:sz w:val="18"/>
                <w:szCs w:val="18"/>
              </w:rPr>
              <w:t>http:// ec.europa.eu/</w:t>
            </w:r>
            <w:proofErr w:type="spellStart"/>
            <w:r>
              <w:rPr>
                <w:color w:val="000000"/>
                <w:sz w:val="18"/>
                <w:szCs w:val="18"/>
              </w:rPr>
              <w:t>agriculture</w:t>
            </w:r>
            <w:proofErr w:type="spellEnd"/>
            <w:r>
              <w:rPr>
                <w:color w:val="000000"/>
                <w:sz w:val="18"/>
                <w:szCs w:val="18"/>
              </w:rPr>
              <w:t>/cap-</w:t>
            </w:r>
            <w:proofErr w:type="spellStart"/>
            <w:r>
              <w:rPr>
                <w:color w:val="000000"/>
                <w:sz w:val="18"/>
                <w:szCs w:val="18"/>
              </w:rPr>
              <w:t>history</w:t>
            </w:r>
            <w:proofErr w:type="spellEnd"/>
            <w:r>
              <w:rPr>
                <w:color w:val="000000"/>
                <w:sz w:val="18"/>
                <w:szCs w:val="18"/>
              </w:rPr>
              <w:t>/index_en.htm (</w:t>
            </w:r>
            <w:proofErr w:type="spellStart"/>
            <w:r>
              <w:rPr>
                <w:color w:val="000000"/>
                <w:sz w:val="18"/>
                <w:szCs w:val="18"/>
              </w:rPr>
              <w:t>retrieved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: </w:t>
            </w:r>
            <w:r>
              <w:rPr>
                <w:color w:val="000000"/>
                <w:sz w:val="18"/>
                <w:szCs w:val="18"/>
              </w:rPr>
              <w:lastRenderedPageBreak/>
              <w:t>10.07.2015).</w:t>
            </w:r>
          </w:p>
        </w:tc>
      </w:tr>
      <w:tr w:rsidR="00AB571D" w:rsidTr="00AB571D">
        <w:tc>
          <w:tcPr>
            <w:tcW w:w="3070" w:type="dxa"/>
          </w:tcPr>
          <w:p w:rsidR="00AB571D" w:rsidRDefault="00641F3F">
            <w:r>
              <w:lastRenderedPageBreak/>
              <w:t>s. 118</w:t>
            </w:r>
          </w:p>
          <w:p w:rsidR="00641F3F" w:rsidRDefault="00641F3F" w:rsidP="00641F3F">
            <w:r>
              <w:t>8. linia od góry w akapicie zaczynającym się od „</w:t>
            </w:r>
            <w:proofErr w:type="spellStart"/>
            <w:r>
              <w:t>Figure</w:t>
            </w:r>
            <w:proofErr w:type="spellEnd"/>
            <w:r>
              <w:t xml:space="preserve"> 1)</w:t>
            </w:r>
          </w:p>
        </w:tc>
        <w:tc>
          <w:tcPr>
            <w:tcW w:w="3071" w:type="dxa"/>
          </w:tcPr>
          <w:p w:rsidR="00AB571D" w:rsidRDefault="00641F3F">
            <w:proofErr w:type="spellStart"/>
            <w:r>
              <w:t>ropean</w:t>
            </w:r>
            <w:proofErr w:type="spellEnd"/>
            <w:r>
              <w:t xml:space="preserve"> </w:t>
            </w:r>
            <w:proofErr w:type="spellStart"/>
            <w:r>
              <w:t>Commission</w:t>
            </w:r>
            <w:proofErr w:type="spellEnd"/>
            <w:r>
              <w:t xml:space="preserve"> 2014).</w:t>
            </w:r>
          </w:p>
        </w:tc>
        <w:tc>
          <w:tcPr>
            <w:tcW w:w="3071" w:type="dxa"/>
          </w:tcPr>
          <w:p w:rsidR="00AB571D" w:rsidRDefault="00641F3F">
            <w:proofErr w:type="spellStart"/>
            <w:r>
              <w:t>ropean</w:t>
            </w:r>
            <w:proofErr w:type="spellEnd"/>
            <w:r>
              <w:t xml:space="preserve"> </w:t>
            </w:r>
            <w:proofErr w:type="spellStart"/>
            <w:r>
              <w:t>Commission</w:t>
            </w:r>
            <w:proofErr w:type="spellEnd"/>
            <w:r>
              <w:t xml:space="preserve"> 2014</w:t>
            </w:r>
            <w:r w:rsidRPr="00641F3F">
              <w:rPr>
                <w:b/>
                <w:highlight w:val="yellow"/>
              </w:rPr>
              <w:t>b: 5</w:t>
            </w:r>
            <w:r>
              <w:t>).</w:t>
            </w:r>
          </w:p>
        </w:tc>
      </w:tr>
      <w:tr w:rsidR="008A2D02" w:rsidTr="00AB571D">
        <w:tc>
          <w:tcPr>
            <w:tcW w:w="3070" w:type="dxa"/>
          </w:tcPr>
          <w:p w:rsidR="008A2D02" w:rsidRDefault="008A2D02">
            <w:r>
              <w:t>s. 116</w:t>
            </w:r>
          </w:p>
          <w:p w:rsidR="008A2D02" w:rsidRDefault="008A2D02">
            <w:r>
              <w:t>w 2 akapicie od góry (</w:t>
            </w:r>
            <w:proofErr w:type="spellStart"/>
            <w:r>
              <w:t>Agriculture</w:t>
            </w:r>
            <w:proofErr w:type="spellEnd"/>
            <w:r>
              <w:t>..) początek w. 2.</w:t>
            </w:r>
          </w:p>
        </w:tc>
        <w:tc>
          <w:tcPr>
            <w:tcW w:w="3071" w:type="dxa"/>
          </w:tcPr>
          <w:p w:rsidR="008A2D02" w:rsidRDefault="008A2D02">
            <w:r>
              <w:rPr>
                <w:color w:val="000000"/>
                <w:sz w:val="22"/>
                <w:szCs w:val="22"/>
              </w:rPr>
              <w:t>2003</w:t>
            </w:r>
          </w:p>
        </w:tc>
        <w:tc>
          <w:tcPr>
            <w:tcW w:w="3071" w:type="dxa"/>
          </w:tcPr>
          <w:p w:rsidR="008A2D02" w:rsidRPr="008A2D02" w:rsidRDefault="008A2D02">
            <w:pPr>
              <w:rPr>
                <w:b/>
              </w:rPr>
            </w:pPr>
            <w:r w:rsidRPr="008A2D02">
              <w:rPr>
                <w:b/>
                <w:highlight w:val="yellow"/>
              </w:rPr>
              <w:t>2007</w:t>
            </w:r>
          </w:p>
        </w:tc>
      </w:tr>
      <w:tr w:rsidR="008A2D02" w:rsidTr="00AB571D">
        <w:tc>
          <w:tcPr>
            <w:tcW w:w="3070" w:type="dxa"/>
          </w:tcPr>
          <w:p w:rsidR="008A2D02" w:rsidRDefault="008728B2">
            <w:r>
              <w:t>s..131</w:t>
            </w:r>
          </w:p>
          <w:p w:rsidR="008728B2" w:rsidRDefault="008728B2">
            <w:r>
              <w:t>ostatnia pozycja w lit.</w:t>
            </w:r>
          </w:p>
          <w:p w:rsidR="008728B2" w:rsidRDefault="008728B2">
            <w:proofErr w:type="spellStart"/>
            <w:r>
              <w:t>Zhu</w:t>
            </w:r>
            <w:proofErr w:type="spellEnd"/>
            <w:r>
              <w:t>…</w:t>
            </w:r>
          </w:p>
          <w:p w:rsidR="008728B2" w:rsidRDefault="008728B2"/>
          <w:p w:rsidR="008728B2" w:rsidRDefault="008728B2">
            <w:r>
              <w:t>Brak kropki po A</w:t>
            </w:r>
          </w:p>
        </w:tc>
        <w:tc>
          <w:tcPr>
            <w:tcW w:w="3071" w:type="dxa"/>
          </w:tcPr>
          <w:p w:rsidR="008A2D02" w:rsidRDefault="008728B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Oude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Lansink</w:t>
            </w:r>
            <w:proofErr w:type="spellEnd"/>
            <w:r>
              <w:rPr>
                <w:color w:val="000000"/>
              </w:rPr>
              <w:t xml:space="preserve"> A</w:t>
            </w:r>
          </w:p>
        </w:tc>
        <w:tc>
          <w:tcPr>
            <w:tcW w:w="3071" w:type="dxa"/>
          </w:tcPr>
          <w:p w:rsidR="008A2D02" w:rsidRPr="008A2D02" w:rsidRDefault="008728B2">
            <w:pPr>
              <w:rPr>
                <w:b/>
                <w:highlight w:val="yellow"/>
              </w:rPr>
            </w:pPr>
            <w:proofErr w:type="spellStart"/>
            <w:r>
              <w:rPr>
                <w:b/>
                <w:highlight w:val="yellow"/>
              </w:rPr>
              <w:t>Oude</w:t>
            </w:r>
            <w:proofErr w:type="spellEnd"/>
            <w:r>
              <w:rPr>
                <w:b/>
                <w:highlight w:val="yellow"/>
              </w:rPr>
              <w:t xml:space="preserve"> </w:t>
            </w:r>
            <w:proofErr w:type="spellStart"/>
            <w:r>
              <w:rPr>
                <w:b/>
                <w:highlight w:val="yellow"/>
              </w:rPr>
              <w:t>Lansink</w:t>
            </w:r>
            <w:proofErr w:type="spellEnd"/>
            <w:r>
              <w:rPr>
                <w:b/>
                <w:highlight w:val="yellow"/>
              </w:rPr>
              <w:t xml:space="preserve"> A.</w:t>
            </w:r>
          </w:p>
        </w:tc>
      </w:tr>
      <w:tr w:rsidR="008728B2" w:rsidTr="00AB571D">
        <w:tc>
          <w:tcPr>
            <w:tcW w:w="3070" w:type="dxa"/>
          </w:tcPr>
          <w:p w:rsidR="008728B2" w:rsidRDefault="008728B2">
            <w:r>
              <w:t>s. 130</w:t>
            </w:r>
          </w:p>
          <w:p w:rsidR="008728B2" w:rsidRDefault="008728B2">
            <w:r>
              <w:t>6 pozycja lit. (wcięcie akapitowe), licząc od stopki</w:t>
            </w:r>
          </w:p>
          <w:p w:rsidR="008728B2" w:rsidRDefault="008728B2">
            <w:r>
              <w:t>Kulawik…</w:t>
            </w:r>
          </w:p>
          <w:p w:rsidR="008728B2" w:rsidRDefault="008728B2"/>
          <w:p w:rsidR="008728B2" w:rsidRDefault="008728B2">
            <w:r>
              <w:t>Są kropki między E a d (Ed).</w:t>
            </w:r>
          </w:p>
        </w:tc>
        <w:tc>
          <w:tcPr>
            <w:tcW w:w="3071" w:type="dxa"/>
          </w:tcPr>
          <w:p w:rsidR="008728B2" w:rsidRDefault="008728B2">
            <w:pPr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Kulawik J. (</w:t>
            </w:r>
            <w:proofErr w:type="spellStart"/>
            <w:r>
              <w:rPr>
                <w:color w:val="000000"/>
                <w:sz w:val="18"/>
                <w:szCs w:val="18"/>
              </w:rPr>
              <w:t>E„d</w:t>
            </w:r>
            <w:proofErr w:type="spellEnd"/>
            <w:r>
              <w:rPr>
                <w:color w:val="000000"/>
                <w:sz w:val="18"/>
                <w:szCs w:val="18"/>
              </w:rPr>
              <w:t>.) (2012)</w:t>
            </w:r>
          </w:p>
        </w:tc>
        <w:tc>
          <w:tcPr>
            <w:tcW w:w="3071" w:type="dxa"/>
          </w:tcPr>
          <w:p w:rsidR="008728B2" w:rsidRDefault="008728B2">
            <w:pPr>
              <w:rPr>
                <w:b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Kulawik J. </w:t>
            </w:r>
            <w:r w:rsidRPr="008728B2">
              <w:rPr>
                <w:color w:val="000000"/>
                <w:sz w:val="18"/>
                <w:szCs w:val="18"/>
                <w:highlight w:val="yellow"/>
              </w:rPr>
              <w:t>(Ed.)</w:t>
            </w:r>
            <w:r>
              <w:rPr>
                <w:color w:val="000000"/>
                <w:sz w:val="18"/>
                <w:szCs w:val="18"/>
              </w:rPr>
              <w:t xml:space="preserve"> (2012)</w:t>
            </w:r>
          </w:p>
        </w:tc>
      </w:tr>
      <w:tr w:rsidR="005B5083" w:rsidTr="00AB571D">
        <w:tc>
          <w:tcPr>
            <w:tcW w:w="3070" w:type="dxa"/>
          </w:tcPr>
          <w:p w:rsidR="005B5083" w:rsidRDefault="00B44F26">
            <w:r>
              <w:t>s.130</w:t>
            </w:r>
            <w:r w:rsidR="005B5083">
              <w:t>-131</w:t>
            </w:r>
          </w:p>
          <w:p w:rsidR="005B5083" w:rsidRPr="00B44F26" w:rsidRDefault="005B5083">
            <w:pPr>
              <w:rPr>
                <w:b/>
              </w:rPr>
            </w:pPr>
            <w:proofErr w:type="spellStart"/>
            <w:r w:rsidRPr="00B44F26">
              <w:rPr>
                <w:b/>
              </w:rPr>
              <w:t>References</w:t>
            </w:r>
            <w:proofErr w:type="spellEnd"/>
          </w:p>
          <w:p w:rsidR="005B5083" w:rsidRDefault="005B5083">
            <w:r>
              <w:t xml:space="preserve">(uwaga „hurtowa” do kilku pozycji </w:t>
            </w:r>
            <w:r w:rsidR="00B44F26">
              <w:t>bibliograficznych – usunięcie drugie „p”. przy stronach</w:t>
            </w:r>
            <w:r>
              <w:t>)</w:t>
            </w:r>
          </w:p>
          <w:p w:rsidR="00B44F26" w:rsidRDefault="00B44F26">
            <w:proofErr w:type="spellStart"/>
            <w:r>
              <w:t>Goodwin</w:t>
            </w:r>
            <w:proofErr w:type="spellEnd"/>
            <w:r>
              <w:t xml:space="preserve"> – 6 akapit od góry, s. 130</w:t>
            </w:r>
          </w:p>
          <w:p w:rsidR="00B44F26" w:rsidRDefault="00B44F26">
            <w:r>
              <w:t>Ponadto, od dołu s. 130 pozycje 3., 8 i 9. (od stopki)</w:t>
            </w:r>
          </w:p>
          <w:p w:rsidR="00B44F26" w:rsidRDefault="00B44F26">
            <w:proofErr w:type="spellStart"/>
            <w:r>
              <w:t>Marden</w:t>
            </w:r>
            <w:proofErr w:type="spellEnd"/>
            <w:r>
              <w:t>…</w:t>
            </w:r>
          </w:p>
          <w:p w:rsidR="00B44F26" w:rsidRDefault="00B44F26">
            <w:r>
              <w:t>Kling…</w:t>
            </w:r>
          </w:p>
          <w:p w:rsidR="00B44F26" w:rsidRDefault="00B44F26">
            <w:proofErr w:type="spellStart"/>
            <w:r>
              <w:t>Kellerman</w:t>
            </w:r>
            <w:proofErr w:type="spellEnd"/>
          </w:p>
          <w:p w:rsidR="00B44F26" w:rsidRDefault="00B44F26"/>
          <w:p w:rsidR="00B44F26" w:rsidRDefault="00B44F26">
            <w:r>
              <w:t>Na str. 131</w:t>
            </w:r>
          </w:p>
          <w:p w:rsidR="00B44F26" w:rsidRDefault="00B44F26">
            <w:r>
              <w:t xml:space="preserve">Pierwszy akapit </w:t>
            </w:r>
          </w:p>
          <w:p w:rsidR="00B44F26" w:rsidRDefault="00B44F26">
            <w:r>
              <w:t>Poczta…</w:t>
            </w:r>
            <w:bookmarkStart w:id="0" w:name="_GoBack"/>
            <w:bookmarkEnd w:id="0"/>
          </w:p>
          <w:p w:rsidR="00B44F26" w:rsidRDefault="00B44F26"/>
        </w:tc>
        <w:tc>
          <w:tcPr>
            <w:tcW w:w="3071" w:type="dxa"/>
          </w:tcPr>
          <w:p w:rsidR="005B5083" w:rsidRDefault="005B5083">
            <w:r>
              <w:lastRenderedPageBreak/>
              <w:t>p</w:t>
            </w:r>
            <w:r w:rsidR="00B44F26">
              <w:t>p.</w:t>
            </w:r>
          </w:p>
          <w:p w:rsidR="005B5083" w:rsidRDefault="005B5083"/>
        </w:tc>
        <w:tc>
          <w:tcPr>
            <w:tcW w:w="3071" w:type="dxa"/>
          </w:tcPr>
          <w:p w:rsidR="005B5083" w:rsidRDefault="00B44F26">
            <w:r>
              <w:rPr>
                <w:highlight w:val="yellow"/>
              </w:rPr>
              <w:t>p</w:t>
            </w:r>
            <w:r>
              <w:t>.</w:t>
            </w:r>
          </w:p>
        </w:tc>
      </w:tr>
    </w:tbl>
    <w:p w:rsidR="00AB571D" w:rsidRDefault="00AB571D" w:rsidP="00AB571D"/>
    <w:sectPr w:rsidR="00AB5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331DE"/>
    <w:multiLevelType w:val="hybridMultilevel"/>
    <w:tmpl w:val="D14E3E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B4622"/>
    <w:multiLevelType w:val="hybridMultilevel"/>
    <w:tmpl w:val="3A042C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815"/>
    <w:rsid w:val="00230815"/>
    <w:rsid w:val="00314523"/>
    <w:rsid w:val="005B5083"/>
    <w:rsid w:val="00641F3F"/>
    <w:rsid w:val="007404F5"/>
    <w:rsid w:val="008728B2"/>
    <w:rsid w:val="008A2D02"/>
    <w:rsid w:val="00AB571D"/>
    <w:rsid w:val="00B44F26"/>
    <w:rsid w:val="00C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4F5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404F5"/>
    <w:pPr>
      <w:keepNext/>
      <w:spacing w:line="360" w:lineRule="auto"/>
      <w:outlineLvl w:val="0"/>
    </w:pPr>
    <w:rPr>
      <w:sz w:val="26"/>
      <w:szCs w:val="20"/>
    </w:rPr>
  </w:style>
  <w:style w:type="paragraph" w:styleId="Nagwek2">
    <w:name w:val="heading 2"/>
    <w:basedOn w:val="Normalny"/>
    <w:next w:val="Normalny"/>
    <w:link w:val="Nagwek2Znak"/>
    <w:qFormat/>
    <w:rsid w:val="007404F5"/>
    <w:pPr>
      <w:keepNext/>
      <w:spacing w:before="1040" w:line="260" w:lineRule="exact"/>
      <w:outlineLvl w:val="1"/>
    </w:pPr>
    <w:rPr>
      <w:i/>
      <w:iCs/>
    </w:rPr>
  </w:style>
  <w:style w:type="paragraph" w:styleId="Nagwek3">
    <w:name w:val="heading 3"/>
    <w:basedOn w:val="Normalny"/>
    <w:next w:val="Normalny"/>
    <w:link w:val="Nagwek3Znak"/>
    <w:qFormat/>
    <w:rsid w:val="007404F5"/>
    <w:pPr>
      <w:keepNext/>
      <w:spacing w:before="380" w:after="260" w:line="220" w:lineRule="exact"/>
      <w:ind w:firstLine="357"/>
      <w:outlineLvl w:val="2"/>
    </w:pPr>
    <w:rPr>
      <w:b/>
      <w:bCs/>
      <w:sz w:val="18"/>
    </w:rPr>
  </w:style>
  <w:style w:type="paragraph" w:styleId="Nagwek4">
    <w:name w:val="heading 4"/>
    <w:basedOn w:val="Normalny"/>
    <w:next w:val="Normalny"/>
    <w:link w:val="Nagwek4Znak"/>
    <w:qFormat/>
    <w:rsid w:val="007404F5"/>
    <w:pPr>
      <w:keepNext/>
      <w:spacing w:before="520" w:after="440" w:line="220" w:lineRule="exact"/>
      <w:jc w:val="center"/>
      <w:outlineLvl w:val="3"/>
    </w:pPr>
    <w:rPr>
      <w:i/>
      <w:iCs/>
      <w:sz w:val="18"/>
      <w:lang w:val="ru-RU"/>
    </w:rPr>
  </w:style>
  <w:style w:type="paragraph" w:styleId="Nagwek5">
    <w:name w:val="heading 5"/>
    <w:basedOn w:val="Normalny"/>
    <w:next w:val="Normalny"/>
    <w:link w:val="Nagwek5Znak"/>
    <w:qFormat/>
    <w:rsid w:val="007404F5"/>
    <w:pPr>
      <w:keepNext/>
      <w:spacing w:line="260" w:lineRule="exact"/>
      <w:outlineLvl w:val="4"/>
    </w:pPr>
    <w:rPr>
      <w:rFonts w:ascii="Helvetica" w:hAnsi="Helvetica"/>
      <w:i/>
      <w:iCs/>
      <w:sz w:val="22"/>
      <w:lang w:val="sr-Cyrl-C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404F5"/>
    <w:rPr>
      <w:sz w:val="26"/>
      <w:lang w:eastAsia="pl-PL"/>
    </w:rPr>
  </w:style>
  <w:style w:type="character" w:customStyle="1" w:styleId="Nagwek2Znak">
    <w:name w:val="Nagłówek 2 Znak"/>
    <w:basedOn w:val="Domylnaczcionkaakapitu"/>
    <w:link w:val="Nagwek2"/>
    <w:rsid w:val="007404F5"/>
    <w:rPr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404F5"/>
    <w:rPr>
      <w:b/>
      <w:bCs/>
      <w:sz w:val="1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404F5"/>
    <w:rPr>
      <w:i/>
      <w:iCs/>
      <w:sz w:val="18"/>
      <w:szCs w:val="24"/>
      <w:lang w:val="ru-RU" w:eastAsia="pl-PL"/>
    </w:rPr>
  </w:style>
  <w:style w:type="character" w:customStyle="1" w:styleId="Nagwek5Znak">
    <w:name w:val="Nagłówek 5 Znak"/>
    <w:basedOn w:val="Domylnaczcionkaakapitu"/>
    <w:link w:val="Nagwek5"/>
    <w:rsid w:val="007404F5"/>
    <w:rPr>
      <w:rFonts w:ascii="Helvetica" w:hAnsi="Helvetica"/>
      <w:i/>
      <w:iCs/>
      <w:sz w:val="22"/>
      <w:szCs w:val="24"/>
      <w:lang w:val="sr-Cyrl-CS" w:eastAsia="pl-PL"/>
    </w:rPr>
  </w:style>
  <w:style w:type="table" w:styleId="Tabela-Siatka">
    <w:name w:val="Table Grid"/>
    <w:basedOn w:val="Standardowy"/>
    <w:uiPriority w:val="59"/>
    <w:rsid w:val="00AB5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571D"/>
    <w:pPr>
      <w:ind w:left="720"/>
      <w:contextualSpacing/>
    </w:pPr>
  </w:style>
  <w:style w:type="paragraph" w:customStyle="1" w:styleId="Default">
    <w:name w:val="Default"/>
    <w:rsid w:val="00CD70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CD70D5"/>
    <w:pPr>
      <w:spacing w:line="221" w:lineRule="atLeast"/>
    </w:pPr>
    <w:rPr>
      <w:color w:val="auto"/>
    </w:rPr>
  </w:style>
  <w:style w:type="character" w:customStyle="1" w:styleId="A3">
    <w:name w:val="A3"/>
    <w:uiPriority w:val="99"/>
    <w:rsid w:val="00CD70D5"/>
    <w:rPr>
      <w:rFonts w:ascii="Symbol" w:hAnsi="Symbol" w:cs="Symbol"/>
      <w:color w:val="000000"/>
      <w:sz w:val="12"/>
      <w:szCs w:val="12"/>
    </w:rPr>
  </w:style>
  <w:style w:type="paragraph" w:customStyle="1" w:styleId="Pa23">
    <w:name w:val="Pa23"/>
    <w:basedOn w:val="Default"/>
    <w:next w:val="Default"/>
    <w:uiPriority w:val="99"/>
    <w:rsid w:val="005B5083"/>
    <w:pPr>
      <w:spacing w:line="181" w:lineRule="atLeas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4F5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404F5"/>
    <w:pPr>
      <w:keepNext/>
      <w:spacing w:line="360" w:lineRule="auto"/>
      <w:outlineLvl w:val="0"/>
    </w:pPr>
    <w:rPr>
      <w:sz w:val="26"/>
      <w:szCs w:val="20"/>
    </w:rPr>
  </w:style>
  <w:style w:type="paragraph" w:styleId="Nagwek2">
    <w:name w:val="heading 2"/>
    <w:basedOn w:val="Normalny"/>
    <w:next w:val="Normalny"/>
    <w:link w:val="Nagwek2Znak"/>
    <w:qFormat/>
    <w:rsid w:val="007404F5"/>
    <w:pPr>
      <w:keepNext/>
      <w:spacing w:before="1040" w:line="260" w:lineRule="exact"/>
      <w:outlineLvl w:val="1"/>
    </w:pPr>
    <w:rPr>
      <w:i/>
      <w:iCs/>
    </w:rPr>
  </w:style>
  <w:style w:type="paragraph" w:styleId="Nagwek3">
    <w:name w:val="heading 3"/>
    <w:basedOn w:val="Normalny"/>
    <w:next w:val="Normalny"/>
    <w:link w:val="Nagwek3Znak"/>
    <w:qFormat/>
    <w:rsid w:val="007404F5"/>
    <w:pPr>
      <w:keepNext/>
      <w:spacing w:before="380" w:after="260" w:line="220" w:lineRule="exact"/>
      <w:ind w:firstLine="357"/>
      <w:outlineLvl w:val="2"/>
    </w:pPr>
    <w:rPr>
      <w:b/>
      <w:bCs/>
      <w:sz w:val="18"/>
    </w:rPr>
  </w:style>
  <w:style w:type="paragraph" w:styleId="Nagwek4">
    <w:name w:val="heading 4"/>
    <w:basedOn w:val="Normalny"/>
    <w:next w:val="Normalny"/>
    <w:link w:val="Nagwek4Znak"/>
    <w:qFormat/>
    <w:rsid w:val="007404F5"/>
    <w:pPr>
      <w:keepNext/>
      <w:spacing w:before="520" w:after="440" w:line="220" w:lineRule="exact"/>
      <w:jc w:val="center"/>
      <w:outlineLvl w:val="3"/>
    </w:pPr>
    <w:rPr>
      <w:i/>
      <w:iCs/>
      <w:sz w:val="18"/>
      <w:lang w:val="ru-RU"/>
    </w:rPr>
  </w:style>
  <w:style w:type="paragraph" w:styleId="Nagwek5">
    <w:name w:val="heading 5"/>
    <w:basedOn w:val="Normalny"/>
    <w:next w:val="Normalny"/>
    <w:link w:val="Nagwek5Znak"/>
    <w:qFormat/>
    <w:rsid w:val="007404F5"/>
    <w:pPr>
      <w:keepNext/>
      <w:spacing w:line="260" w:lineRule="exact"/>
      <w:outlineLvl w:val="4"/>
    </w:pPr>
    <w:rPr>
      <w:rFonts w:ascii="Helvetica" w:hAnsi="Helvetica"/>
      <w:i/>
      <w:iCs/>
      <w:sz w:val="22"/>
      <w:lang w:val="sr-Cyrl-C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404F5"/>
    <w:rPr>
      <w:sz w:val="26"/>
      <w:lang w:eastAsia="pl-PL"/>
    </w:rPr>
  </w:style>
  <w:style w:type="character" w:customStyle="1" w:styleId="Nagwek2Znak">
    <w:name w:val="Nagłówek 2 Znak"/>
    <w:basedOn w:val="Domylnaczcionkaakapitu"/>
    <w:link w:val="Nagwek2"/>
    <w:rsid w:val="007404F5"/>
    <w:rPr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404F5"/>
    <w:rPr>
      <w:b/>
      <w:bCs/>
      <w:sz w:val="1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404F5"/>
    <w:rPr>
      <w:i/>
      <w:iCs/>
      <w:sz w:val="18"/>
      <w:szCs w:val="24"/>
      <w:lang w:val="ru-RU" w:eastAsia="pl-PL"/>
    </w:rPr>
  </w:style>
  <w:style w:type="character" w:customStyle="1" w:styleId="Nagwek5Znak">
    <w:name w:val="Nagłówek 5 Znak"/>
    <w:basedOn w:val="Domylnaczcionkaakapitu"/>
    <w:link w:val="Nagwek5"/>
    <w:rsid w:val="007404F5"/>
    <w:rPr>
      <w:rFonts w:ascii="Helvetica" w:hAnsi="Helvetica"/>
      <w:i/>
      <w:iCs/>
      <w:sz w:val="22"/>
      <w:szCs w:val="24"/>
      <w:lang w:val="sr-Cyrl-CS" w:eastAsia="pl-PL"/>
    </w:rPr>
  </w:style>
  <w:style w:type="table" w:styleId="Tabela-Siatka">
    <w:name w:val="Table Grid"/>
    <w:basedOn w:val="Standardowy"/>
    <w:uiPriority w:val="59"/>
    <w:rsid w:val="00AB5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571D"/>
    <w:pPr>
      <w:ind w:left="720"/>
      <w:contextualSpacing/>
    </w:pPr>
  </w:style>
  <w:style w:type="paragraph" w:customStyle="1" w:styleId="Default">
    <w:name w:val="Default"/>
    <w:rsid w:val="00CD70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CD70D5"/>
    <w:pPr>
      <w:spacing w:line="221" w:lineRule="atLeast"/>
    </w:pPr>
    <w:rPr>
      <w:color w:val="auto"/>
    </w:rPr>
  </w:style>
  <w:style w:type="character" w:customStyle="1" w:styleId="A3">
    <w:name w:val="A3"/>
    <w:uiPriority w:val="99"/>
    <w:rsid w:val="00CD70D5"/>
    <w:rPr>
      <w:rFonts w:ascii="Symbol" w:hAnsi="Symbol" w:cs="Symbol"/>
      <w:color w:val="000000"/>
      <w:sz w:val="12"/>
      <w:szCs w:val="12"/>
    </w:rPr>
  </w:style>
  <w:style w:type="paragraph" w:customStyle="1" w:styleId="Pa23">
    <w:name w:val="Pa23"/>
    <w:basedOn w:val="Default"/>
    <w:next w:val="Default"/>
    <w:uiPriority w:val="99"/>
    <w:rsid w:val="005B5083"/>
    <w:pPr>
      <w:spacing w:line="18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Leonora Wojciechowska</dc:creator>
  <cp:keywords/>
  <dc:description/>
  <cp:lastModifiedBy>Soliwoda Michał</cp:lastModifiedBy>
  <cp:revision>3</cp:revision>
  <dcterms:created xsi:type="dcterms:W3CDTF">2015-08-19T10:46:00Z</dcterms:created>
  <dcterms:modified xsi:type="dcterms:W3CDTF">2016-09-02T10:25:00Z</dcterms:modified>
</cp:coreProperties>
</file>