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1052"/>
        <w:gridCol w:w="3118"/>
      </w:tblGrid>
      <w:tr w:rsidR="00F63911" w:rsidRPr="00E23CE0" w:rsidTr="00F63911">
        <w:trPr>
          <w:trHeight w:val="284"/>
        </w:trPr>
        <w:tc>
          <w:tcPr>
            <w:tcW w:w="11052" w:type="dxa"/>
            <w:tcMar>
              <w:left w:w="57" w:type="dxa"/>
              <w:right w:w="57" w:type="dxa"/>
            </w:tcMar>
            <w:vAlign w:val="center"/>
          </w:tcPr>
          <w:p w:rsidR="00F63911" w:rsidRPr="00E23CE0" w:rsidRDefault="00F63911" w:rsidP="00EB07BC">
            <w:pPr>
              <w:suppressAutoHyphens/>
              <w:spacing w:line="240" w:lineRule="auto"/>
              <w:jc w:val="center"/>
              <w:rPr>
                <w:rFonts w:asciiTheme="minorHAnsi" w:hAnsiTheme="minorHAnsi"/>
                <w:b/>
                <w:sz w:val="22"/>
                <w:lang w:val="en-US"/>
              </w:rPr>
            </w:pPr>
            <w:r w:rsidRPr="00E23CE0">
              <w:rPr>
                <w:b/>
                <w:bCs/>
                <w:sz w:val="22"/>
                <w:lang w:val="en-US"/>
              </w:rPr>
              <w:t>BIBLIOGRAFIA / REFERENCE LIST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F63911" w:rsidRPr="00E23CE0" w:rsidRDefault="00F63911" w:rsidP="00EB07BC">
            <w:pPr>
              <w:suppressAutoHyphens/>
              <w:spacing w:line="240" w:lineRule="auto"/>
              <w:jc w:val="center"/>
              <w:rPr>
                <w:rFonts w:asciiTheme="minorHAnsi" w:hAnsiTheme="minorHAnsi"/>
                <w:b/>
                <w:sz w:val="22"/>
                <w:lang w:val="en-US"/>
              </w:rPr>
            </w:pPr>
            <w:r w:rsidRPr="00E23CE0">
              <w:rPr>
                <w:b/>
                <w:bCs/>
                <w:sz w:val="22"/>
              </w:rPr>
              <w:t>CYTOWANIE W TEKŚCIE /</w:t>
            </w:r>
            <w:r w:rsidRPr="00E23CE0">
              <w:rPr>
                <w:b/>
                <w:bCs/>
                <w:sz w:val="22"/>
              </w:rPr>
              <w:br/>
              <w:t>IN-TEXT CITATION</w:t>
            </w:r>
          </w:p>
        </w:tc>
      </w:tr>
      <w:tr w:rsidR="00F63911" w:rsidRPr="00E23CE0" w:rsidTr="00F63911">
        <w:trPr>
          <w:trHeight w:val="284"/>
        </w:trPr>
        <w:tc>
          <w:tcPr>
            <w:tcW w:w="14170" w:type="dxa"/>
            <w:gridSpan w:val="2"/>
            <w:shd w:val="clear" w:color="auto" w:fill="7B7B7B" w:themeFill="accent3" w:themeFillShade="BF"/>
            <w:tcMar>
              <w:left w:w="57" w:type="dxa"/>
              <w:right w:w="57" w:type="dxa"/>
            </w:tcMar>
          </w:tcPr>
          <w:p w:rsidR="00F63911" w:rsidRPr="00E23CE0" w:rsidRDefault="00F63911" w:rsidP="00EB07BC">
            <w:pPr>
              <w:tabs>
                <w:tab w:val="left" w:pos="2730"/>
              </w:tabs>
              <w:spacing w:line="240" w:lineRule="auto"/>
              <w:rPr>
                <w:rFonts w:asciiTheme="minorHAnsi" w:hAnsiTheme="minorHAnsi"/>
                <w:color w:val="89B137"/>
                <w:sz w:val="16"/>
                <w:lang w:val="en-US"/>
              </w:rPr>
            </w:pPr>
            <w:bookmarkStart w:id="0" w:name="_Hlk69393200"/>
            <w:r w:rsidRPr="00E23CE0">
              <w:rPr>
                <w:rFonts w:asciiTheme="minorHAnsi" w:hAnsiTheme="minorHAnsi"/>
                <w:color w:val="89B137"/>
                <w:sz w:val="16"/>
                <w:lang w:val="en-US"/>
              </w:rPr>
              <w:tab/>
            </w:r>
            <w:r w:rsidRPr="00E23CE0">
              <w:rPr>
                <w:sz w:val="28"/>
                <w:lang w:val="en-US"/>
              </w:rPr>
              <w:t>MONOGRAFIE / EDITED BOOKS</w:t>
            </w:r>
          </w:p>
        </w:tc>
      </w:tr>
      <w:tr w:rsidR="00F63911" w:rsidTr="00F63911">
        <w:trPr>
          <w:trHeight w:val="284"/>
        </w:trPr>
        <w:tc>
          <w:tcPr>
            <w:tcW w:w="14170" w:type="dxa"/>
            <w:gridSpan w:val="2"/>
            <w:tcMar>
              <w:left w:w="57" w:type="dxa"/>
              <w:right w:w="57" w:type="dxa"/>
            </w:tcMar>
          </w:tcPr>
          <w:p w:rsidR="00F63911" w:rsidRPr="005707D4" w:rsidRDefault="00F63911" w:rsidP="00F63911">
            <w:pPr>
              <w:pStyle w:val="Akapitzlist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uto"/>
              <w:rPr>
                <w:lang w:val="en-US"/>
              </w:rPr>
            </w:pPr>
            <w:bookmarkStart w:id="1" w:name="_Hlk69393187"/>
            <w:bookmarkEnd w:id="0"/>
            <w:r w:rsidRPr="00666169">
              <w:rPr>
                <w:lang w:val="en-US"/>
              </w:rPr>
              <w:t xml:space="preserve">JEDEN AUTOR / ONE AUTHOR </w:t>
            </w:r>
          </w:p>
        </w:tc>
      </w:tr>
      <w:bookmarkEnd w:id="1"/>
      <w:tr w:rsidR="00F63911" w:rsidTr="00F63911">
        <w:trPr>
          <w:trHeight w:val="284"/>
        </w:trPr>
        <w:tc>
          <w:tcPr>
            <w:tcW w:w="11052" w:type="dxa"/>
            <w:tcMar>
              <w:left w:w="57" w:type="dxa"/>
              <w:right w:w="57" w:type="dxa"/>
            </w:tcMar>
          </w:tcPr>
          <w:p w:rsidR="00F63911" w:rsidRPr="00FF698D" w:rsidRDefault="00F63911" w:rsidP="00EB07BC">
            <w:pPr>
              <w:pStyle w:val="JOFFLReferencelist"/>
            </w:pPr>
            <w:r w:rsidRPr="00666169">
              <w:t xml:space="preserve">Patterson, J. (2005). </w:t>
            </w:r>
            <w:r w:rsidRPr="00666169">
              <w:rPr>
                <w:rStyle w:val="Uwydatnienie"/>
              </w:rPr>
              <w:t>Maximum ride</w:t>
            </w:r>
            <w:r w:rsidRPr="00666169">
              <w:t xml:space="preserve">. </w:t>
            </w:r>
            <w:r w:rsidRPr="00FF698D">
              <w:t>New York: Little, Brown.</w:t>
            </w:r>
          </w:p>
          <w:p w:rsidR="00F63911" w:rsidRPr="005707D4" w:rsidRDefault="00F63911" w:rsidP="00EB07BC">
            <w:pPr>
              <w:pStyle w:val="JOFFLReferencelist"/>
              <w:rPr>
                <w:sz w:val="20"/>
                <w:lang w:val="pl-PL"/>
              </w:rPr>
            </w:pPr>
            <w:r w:rsidRPr="0001499A">
              <w:rPr>
                <w:lang w:val="pl-PL"/>
              </w:rPr>
              <w:t xml:space="preserve">Chojnicki, Z. (2010). </w:t>
            </w:r>
            <w:r w:rsidRPr="0001499A">
              <w:rPr>
                <w:i/>
                <w:iCs/>
                <w:lang w:val="pl-PL"/>
              </w:rPr>
              <w:t>Koncepcje i studia metodologiczne i teoretyczne w geografii</w:t>
            </w:r>
            <w:r w:rsidRPr="0001499A">
              <w:rPr>
                <w:lang w:val="pl-PL"/>
              </w:rPr>
              <w:t xml:space="preserve">. </w:t>
            </w:r>
            <w:proofErr w:type="spellStart"/>
            <w:r w:rsidRPr="00666169">
              <w:t>Poznań</w:t>
            </w:r>
            <w:proofErr w:type="spellEnd"/>
            <w:r w:rsidRPr="00666169">
              <w:t xml:space="preserve">: </w:t>
            </w:r>
            <w:proofErr w:type="spellStart"/>
            <w:r w:rsidRPr="00666169">
              <w:t>Bogucki</w:t>
            </w:r>
            <w:proofErr w:type="spellEnd"/>
            <w:r w:rsidRPr="00666169">
              <w:t xml:space="preserve"> </w:t>
            </w:r>
            <w:proofErr w:type="spellStart"/>
            <w:r w:rsidRPr="00666169">
              <w:t>Wydawnictwo</w:t>
            </w:r>
            <w:proofErr w:type="spellEnd"/>
            <w:r w:rsidRPr="00666169">
              <w:t xml:space="preserve"> </w:t>
            </w:r>
            <w:proofErr w:type="spellStart"/>
            <w:r w:rsidRPr="00666169">
              <w:t>Naukowe</w:t>
            </w:r>
            <w:proofErr w:type="spellEnd"/>
            <w:r w:rsidRPr="00666169">
              <w:t>.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F63911" w:rsidRPr="0066014E" w:rsidRDefault="00F63911" w:rsidP="00EB07BC">
            <w:pPr>
              <w:spacing w:line="240" w:lineRule="auto"/>
              <w:rPr>
                <w:sz w:val="18"/>
                <w:szCs w:val="18"/>
              </w:rPr>
            </w:pPr>
            <w:r w:rsidRPr="0066014E">
              <w:rPr>
                <w:sz w:val="18"/>
                <w:szCs w:val="18"/>
              </w:rPr>
              <w:t>(Patterson, 2005: 150)</w:t>
            </w:r>
          </w:p>
          <w:p w:rsidR="00F63911" w:rsidRDefault="00F63911" w:rsidP="00EB07BC">
            <w:pPr>
              <w:spacing w:line="240" w:lineRule="auto"/>
              <w:rPr>
                <w:rFonts w:asciiTheme="minorHAnsi" w:hAnsiTheme="minorHAnsi"/>
                <w:color w:val="89B137"/>
                <w:sz w:val="16"/>
                <w:lang w:val="en-US"/>
              </w:rPr>
            </w:pPr>
            <w:r w:rsidRPr="0066014E">
              <w:rPr>
                <w:sz w:val="18"/>
                <w:szCs w:val="18"/>
              </w:rPr>
              <w:t>(Chojnicki, 2010)</w:t>
            </w:r>
          </w:p>
        </w:tc>
      </w:tr>
      <w:tr w:rsidR="00F63911" w:rsidTr="00F63911">
        <w:trPr>
          <w:trHeight w:val="284"/>
        </w:trPr>
        <w:tc>
          <w:tcPr>
            <w:tcW w:w="14170" w:type="dxa"/>
            <w:gridSpan w:val="2"/>
            <w:tcMar>
              <w:left w:w="57" w:type="dxa"/>
              <w:right w:w="57" w:type="dxa"/>
            </w:tcMar>
          </w:tcPr>
          <w:p w:rsidR="00F63911" w:rsidRPr="005707D4" w:rsidRDefault="00F63911" w:rsidP="00F63911">
            <w:pPr>
              <w:pStyle w:val="Akapitzlist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uto"/>
              <w:rPr>
                <w:lang w:val="en-US"/>
              </w:rPr>
            </w:pPr>
            <w:bookmarkStart w:id="2" w:name="_Hlk69384530"/>
            <w:r w:rsidRPr="00666169">
              <w:rPr>
                <w:lang w:val="en-US"/>
              </w:rPr>
              <w:t xml:space="preserve">DWÓCH AUTORÓW / TWO AUTHORS </w:t>
            </w:r>
          </w:p>
        </w:tc>
      </w:tr>
      <w:bookmarkEnd w:id="2"/>
      <w:tr w:rsidR="00F63911" w:rsidRPr="00CB45C2" w:rsidTr="00F63911">
        <w:trPr>
          <w:trHeight w:val="284"/>
        </w:trPr>
        <w:tc>
          <w:tcPr>
            <w:tcW w:w="11052" w:type="dxa"/>
            <w:tcMar>
              <w:left w:w="57" w:type="dxa"/>
              <w:right w:w="57" w:type="dxa"/>
            </w:tcMar>
          </w:tcPr>
          <w:p w:rsidR="00F63911" w:rsidRPr="00666169" w:rsidRDefault="00F63911" w:rsidP="00EB07BC">
            <w:pPr>
              <w:pStyle w:val="JOFFLReferencelist"/>
            </w:pPr>
            <w:proofErr w:type="spellStart"/>
            <w:r w:rsidRPr="00666169">
              <w:t>Desikan</w:t>
            </w:r>
            <w:proofErr w:type="spellEnd"/>
            <w:r w:rsidRPr="00666169">
              <w:t xml:space="preserve">, S. and Ramesh, G. (2006). </w:t>
            </w:r>
            <w:r w:rsidRPr="00666169">
              <w:rPr>
                <w:rStyle w:val="Uwydatnienie"/>
              </w:rPr>
              <w:t>Software testing</w:t>
            </w:r>
            <w:r w:rsidRPr="00666169">
              <w:t>. Bangalore, India: Dorling Kindersley.</w:t>
            </w:r>
          </w:p>
          <w:p w:rsidR="00F63911" w:rsidRPr="005707D4" w:rsidRDefault="00F63911" w:rsidP="00EB07BC">
            <w:pPr>
              <w:pStyle w:val="JOFFLReferencelist"/>
              <w:rPr>
                <w:sz w:val="20"/>
                <w:lang w:val="pl-PL"/>
              </w:rPr>
            </w:pPr>
            <w:proofErr w:type="spellStart"/>
            <w:r w:rsidRPr="0001499A">
              <w:rPr>
                <w:lang w:val="pl-PL"/>
              </w:rPr>
              <w:t>Gnela</w:t>
            </w:r>
            <w:proofErr w:type="spellEnd"/>
            <w:r w:rsidRPr="0001499A">
              <w:rPr>
                <w:lang w:val="pl-PL"/>
              </w:rPr>
              <w:t xml:space="preserve">, B. i Michałowska, K. (2015). </w:t>
            </w:r>
            <w:r w:rsidRPr="0001499A">
              <w:rPr>
                <w:i/>
                <w:lang w:val="pl-PL"/>
              </w:rPr>
              <w:t>Współczesne wyzwania prawa konsumenckiego.</w:t>
            </w:r>
            <w:r w:rsidRPr="0001499A">
              <w:rPr>
                <w:lang w:val="pl-PL"/>
              </w:rPr>
              <w:t xml:space="preserve"> Warszawa: C.H. Beck. 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F63911" w:rsidRPr="0066014E" w:rsidRDefault="00F63911" w:rsidP="00EB07BC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66014E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66014E">
              <w:rPr>
                <w:sz w:val="18"/>
                <w:szCs w:val="18"/>
                <w:lang w:val="en-US"/>
              </w:rPr>
              <w:t>Desikan</w:t>
            </w:r>
            <w:proofErr w:type="spellEnd"/>
            <w:r w:rsidRPr="0066014E">
              <w:rPr>
                <w:sz w:val="18"/>
                <w:szCs w:val="18"/>
                <w:lang w:val="en-US"/>
              </w:rPr>
              <w:t xml:space="preserve"> and Ramesh, 2006: 156</w:t>
            </w:r>
            <w:r>
              <w:rPr>
                <w:sz w:val="18"/>
                <w:szCs w:val="18"/>
                <w:lang w:val="en-US"/>
              </w:rPr>
              <w:t>–</w:t>
            </w:r>
            <w:r w:rsidRPr="0066014E">
              <w:rPr>
                <w:sz w:val="18"/>
                <w:szCs w:val="18"/>
                <w:lang w:val="en-US"/>
              </w:rPr>
              <w:t>180)</w:t>
            </w:r>
          </w:p>
          <w:p w:rsidR="00F63911" w:rsidRPr="005707D4" w:rsidRDefault="00F63911" w:rsidP="00EB07BC">
            <w:pPr>
              <w:spacing w:line="240" w:lineRule="auto"/>
              <w:rPr>
                <w:rFonts w:asciiTheme="minorHAnsi" w:hAnsiTheme="minorHAnsi"/>
                <w:color w:val="89B137"/>
                <w:sz w:val="16"/>
                <w:lang w:val="en-US"/>
              </w:rPr>
            </w:pPr>
            <w:r w:rsidRPr="0066014E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66014E">
              <w:rPr>
                <w:sz w:val="18"/>
                <w:szCs w:val="18"/>
                <w:lang w:val="en-US"/>
              </w:rPr>
              <w:t>Gnela</w:t>
            </w:r>
            <w:proofErr w:type="spellEnd"/>
            <w:r w:rsidRPr="0066014E">
              <w:rPr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66014E">
              <w:rPr>
                <w:sz w:val="18"/>
                <w:szCs w:val="18"/>
                <w:lang w:val="en-US"/>
              </w:rPr>
              <w:t>Michałowska</w:t>
            </w:r>
            <w:proofErr w:type="spellEnd"/>
            <w:r w:rsidRPr="0066014E">
              <w:rPr>
                <w:sz w:val="18"/>
                <w:szCs w:val="18"/>
                <w:lang w:val="en-US"/>
              </w:rPr>
              <w:t>, 2015)</w:t>
            </w:r>
          </w:p>
        </w:tc>
      </w:tr>
      <w:tr w:rsidR="00F63911" w:rsidRPr="005707D4" w:rsidTr="00F63911">
        <w:trPr>
          <w:trHeight w:val="284"/>
        </w:trPr>
        <w:tc>
          <w:tcPr>
            <w:tcW w:w="14170" w:type="dxa"/>
            <w:gridSpan w:val="2"/>
            <w:tcMar>
              <w:left w:w="57" w:type="dxa"/>
              <w:right w:w="57" w:type="dxa"/>
            </w:tcMar>
          </w:tcPr>
          <w:p w:rsidR="00F63911" w:rsidRPr="005707D4" w:rsidRDefault="00F63911" w:rsidP="00F63911">
            <w:pPr>
              <w:pStyle w:val="Akapitzlist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uto"/>
              <w:rPr>
                <w:lang w:val="en-US"/>
              </w:rPr>
            </w:pPr>
            <w:r w:rsidRPr="00666169">
              <w:rPr>
                <w:lang w:val="en-US"/>
              </w:rPr>
              <w:t xml:space="preserve">TRZECH I WIĘCEJ AUTORÓW / THREE OR MORE AUTHORS </w:t>
            </w:r>
          </w:p>
        </w:tc>
      </w:tr>
      <w:tr w:rsidR="00F63911" w:rsidRPr="00CB45C2" w:rsidTr="00F63911">
        <w:trPr>
          <w:trHeight w:val="284"/>
        </w:trPr>
        <w:tc>
          <w:tcPr>
            <w:tcW w:w="11052" w:type="dxa"/>
            <w:tcMar>
              <w:left w:w="57" w:type="dxa"/>
              <w:right w:w="57" w:type="dxa"/>
            </w:tcMar>
          </w:tcPr>
          <w:p w:rsidR="00F63911" w:rsidRPr="00216145" w:rsidRDefault="00F63911" w:rsidP="00EB07BC">
            <w:pPr>
              <w:pStyle w:val="JOFFLReferencelist"/>
            </w:pPr>
            <w:proofErr w:type="spellStart"/>
            <w:r w:rsidRPr="00666169">
              <w:t>Vermaat</w:t>
            </w:r>
            <w:proofErr w:type="spellEnd"/>
            <w:r w:rsidRPr="00666169">
              <w:t xml:space="preserve">, M., </w:t>
            </w:r>
            <w:proofErr w:type="spellStart"/>
            <w:r w:rsidRPr="00666169">
              <w:t>Sebok</w:t>
            </w:r>
            <w:proofErr w:type="spellEnd"/>
            <w:r w:rsidRPr="00666169">
              <w:t xml:space="preserve">, S., Freund, S., Campbell, J. and Frydenberg, M. (2014). </w:t>
            </w:r>
            <w:r w:rsidRPr="00666169">
              <w:rPr>
                <w:rStyle w:val="Uwydatnienie"/>
              </w:rPr>
              <w:t>Discovering computers</w:t>
            </w:r>
            <w:r w:rsidRPr="00666169">
              <w:t xml:space="preserve">. </w:t>
            </w:r>
            <w:r w:rsidRPr="00216145">
              <w:t>Boston: Cengage Learning.</w:t>
            </w:r>
          </w:p>
          <w:p w:rsidR="00F63911" w:rsidRPr="005707D4" w:rsidRDefault="00F63911" w:rsidP="00EB07BC">
            <w:pPr>
              <w:pStyle w:val="JOFFLReferencelist"/>
              <w:rPr>
                <w:rFonts w:asciiTheme="minorHAnsi" w:hAnsiTheme="minorHAnsi"/>
                <w:color w:val="89B137"/>
                <w:sz w:val="16"/>
              </w:rPr>
            </w:pPr>
            <w:proofErr w:type="spellStart"/>
            <w:r w:rsidRPr="00216145">
              <w:t>Hamaekers</w:t>
            </w:r>
            <w:proofErr w:type="spellEnd"/>
            <w:r w:rsidRPr="00216145">
              <w:t xml:space="preserve">, H., Holmes, K., </w:t>
            </w:r>
            <w:proofErr w:type="spellStart"/>
            <w:r w:rsidRPr="00216145">
              <w:t>Głuchowski</w:t>
            </w:r>
            <w:proofErr w:type="spellEnd"/>
            <w:r w:rsidRPr="00216145">
              <w:t xml:space="preserve">, J., </w:t>
            </w:r>
            <w:proofErr w:type="spellStart"/>
            <w:r w:rsidRPr="00216145">
              <w:t>Kardach</w:t>
            </w:r>
            <w:proofErr w:type="spellEnd"/>
            <w:r w:rsidRPr="00216145">
              <w:t xml:space="preserve">, T. i </w:t>
            </w:r>
            <w:proofErr w:type="spellStart"/>
            <w:r w:rsidRPr="00216145">
              <w:t>Nykiel</w:t>
            </w:r>
            <w:proofErr w:type="spellEnd"/>
            <w:r w:rsidRPr="00216145">
              <w:t xml:space="preserve">, W. (2006). </w:t>
            </w:r>
            <w:proofErr w:type="spellStart"/>
            <w:r w:rsidRPr="00666169">
              <w:rPr>
                <w:i/>
                <w:iCs/>
              </w:rPr>
              <w:t>Wprowadzenie</w:t>
            </w:r>
            <w:proofErr w:type="spellEnd"/>
            <w:r w:rsidRPr="00666169">
              <w:rPr>
                <w:i/>
                <w:iCs/>
              </w:rPr>
              <w:t xml:space="preserve"> do </w:t>
            </w:r>
            <w:proofErr w:type="spellStart"/>
            <w:r w:rsidRPr="00666169">
              <w:rPr>
                <w:i/>
                <w:iCs/>
              </w:rPr>
              <w:t>międzynarodowego</w:t>
            </w:r>
            <w:proofErr w:type="spellEnd"/>
            <w:r w:rsidRPr="00666169">
              <w:rPr>
                <w:i/>
                <w:iCs/>
              </w:rPr>
              <w:t xml:space="preserve"> </w:t>
            </w:r>
            <w:proofErr w:type="spellStart"/>
            <w:r w:rsidRPr="00666169">
              <w:rPr>
                <w:i/>
                <w:iCs/>
              </w:rPr>
              <w:t>prawa</w:t>
            </w:r>
            <w:proofErr w:type="spellEnd"/>
            <w:r w:rsidRPr="00666169">
              <w:rPr>
                <w:i/>
                <w:iCs/>
              </w:rPr>
              <w:t xml:space="preserve"> </w:t>
            </w:r>
            <w:proofErr w:type="spellStart"/>
            <w:r w:rsidRPr="00666169">
              <w:rPr>
                <w:i/>
                <w:iCs/>
              </w:rPr>
              <w:t>podatkowego</w:t>
            </w:r>
            <w:proofErr w:type="spellEnd"/>
            <w:r w:rsidRPr="00666169">
              <w:rPr>
                <w:iCs/>
              </w:rPr>
              <w:t>. Warszawa:</w:t>
            </w:r>
            <w:r w:rsidRPr="00666169">
              <w:t xml:space="preserve"> </w:t>
            </w:r>
            <w:proofErr w:type="spellStart"/>
            <w:r w:rsidRPr="00666169">
              <w:t>Wydawnictwo</w:t>
            </w:r>
            <w:proofErr w:type="spellEnd"/>
            <w:r w:rsidRPr="00666169">
              <w:t xml:space="preserve"> </w:t>
            </w:r>
            <w:proofErr w:type="spellStart"/>
            <w:r w:rsidRPr="00666169">
              <w:t>Prawnicze</w:t>
            </w:r>
            <w:proofErr w:type="spellEnd"/>
            <w:r w:rsidRPr="00666169">
              <w:t xml:space="preserve"> „LexisNexis”.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F63911" w:rsidRPr="0066014E" w:rsidRDefault="00F63911" w:rsidP="00EB07BC">
            <w:pPr>
              <w:spacing w:line="240" w:lineRule="auto"/>
              <w:rPr>
                <w:sz w:val="18"/>
                <w:lang w:val="en-US"/>
              </w:rPr>
            </w:pPr>
            <w:r w:rsidRPr="0066014E">
              <w:rPr>
                <w:sz w:val="18"/>
                <w:lang w:val="en-US"/>
              </w:rPr>
              <w:t>(</w:t>
            </w:r>
            <w:proofErr w:type="spellStart"/>
            <w:r w:rsidRPr="0066014E">
              <w:rPr>
                <w:sz w:val="18"/>
                <w:lang w:val="en-US"/>
              </w:rPr>
              <w:t>Vermatt</w:t>
            </w:r>
            <w:proofErr w:type="spellEnd"/>
            <w:r w:rsidRPr="0066014E">
              <w:rPr>
                <w:sz w:val="18"/>
                <w:lang w:val="en-US"/>
              </w:rPr>
              <w:t xml:space="preserve"> et al., 2014: 446</w:t>
            </w:r>
            <w:r>
              <w:rPr>
                <w:sz w:val="18"/>
                <w:lang w:val="en-US"/>
              </w:rPr>
              <w:t>–</w:t>
            </w:r>
            <w:r w:rsidRPr="0066014E">
              <w:rPr>
                <w:sz w:val="18"/>
                <w:lang w:val="en-US"/>
              </w:rPr>
              <w:t>448)</w:t>
            </w:r>
          </w:p>
          <w:p w:rsidR="00F63911" w:rsidRPr="0066014E" w:rsidRDefault="00F63911" w:rsidP="00EB07BC">
            <w:pPr>
              <w:spacing w:line="240" w:lineRule="auto"/>
              <w:rPr>
                <w:sz w:val="18"/>
                <w:lang w:val="en-US"/>
              </w:rPr>
            </w:pPr>
          </w:p>
          <w:p w:rsidR="00F63911" w:rsidRPr="00F63911" w:rsidRDefault="00F63911" w:rsidP="00F63911">
            <w:pPr>
              <w:spacing w:line="240" w:lineRule="auto"/>
              <w:rPr>
                <w:rFonts w:asciiTheme="minorHAnsi" w:hAnsiTheme="minorHAnsi"/>
                <w:color w:val="89B137"/>
                <w:sz w:val="18"/>
                <w:lang w:val="en-US"/>
              </w:rPr>
            </w:pPr>
            <w:r w:rsidRPr="0066014E">
              <w:rPr>
                <w:sz w:val="18"/>
                <w:lang w:val="en-US"/>
              </w:rPr>
              <w:t>(</w:t>
            </w:r>
            <w:proofErr w:type="spellStart"/>
            <w:r w:rsidRPr="0066014E">
              <w:rPr>
                <w:sz w:val="18"/>
                <w:lang w:val="en-US"/>
              </w:rPr>
              <w:t>Hamaekers</w:t>
            </w:r>
            <w:proofErr w:type="spellEnd"/>
            <w:r w:rsidRPr="0066014E">
              <w:rPr>
                <w:sz w:val="18"/>
                <w:lang w:val="en-US"/>
              </w:rPr>
              <w:t xml:space="preserve"> i in., 2006)</w:t>
            </w:r>
          </w:p>
        </w:tc>
      </w:tr>
      <w:tr w:rsidR="00F63911" w:rsidRPr="005707D4" w:rsidTr="00F63911">
        <w:trPr>
          <w:trHeight w:val="284"/>
        </w:trPr>
        <w:tc>
          <w:tcPr>
            <w:tcW w:w="14170" w:type="dxa"/>
            <w:gridSpan w:val="2"/>
            <w:tcMar>
              <w:left w:w="57" w:type="dxa"/>
              <w:right w:w="57" w:type="dxa"/>
            </w:tcMar>
          </w:tcPr>
          <w:p w:rsidR="00F63911" w:rsidRPr="005707D4" w:rsidRDefault="00F63911" w:rsidP="00F63911">
            <w:pPr>
              <w:pStyle w:val="Akapitzlist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uto"/>
            </w:pPr>
            <w:r w:rsidRPr="00666169">
              <w:t xml:space="preserve">ROZDZIAŁ W MONOGRAFII WIELOAUTORSKIEJ / CHAPTERS IN EDITED BOOKS </w:t>
            </w:r>
          </w:p>
        </w:tc>
      </w:tr>
      <w:tr w:rsidR="00F63911" w:rsidRPr="005707D4" w:rsidTr="00F63911">
        <w:trPr>
          <w:trHeight w:val="284"/>
        </w:trPr>
        <w:tc>
          <w:tcPr>
            <w:tcW w:w="11052" w:type="dxa"/>
            <w:tcMar>
              <w:left w:w="57" w:type="dxa"/>
              <w:right w:w="57" w:type="dxa"/>
            </w:tcMar>
          </w:tcPr>
          <w:p w:rsidR="00F63911" w:rsidRPr="0001499A" w:rsidRDefault="00F63911" w:rsidP="00EB07BC">
            <w:pPr>
              <w:pStyle w:val="JOFFLReferencelist"/>
              <w:rPr>
                <w:lang w:val="pl-PL"/>
              </w:rPr>
            </w:pPr>
            <w:r w:rsidRPr="00666169">
              <w:t xml:space="preserve">Bressler, L. (2010). My girl, Kylie. In: L. Matheson, ed., </w:t>
            </w:r>
            <w:r w:rsidRPr="00666169">
              <w:rPr>
                <w:rStyle w:val="Uwydatnienie"/>
              </w:rPr>
              <w:t>The Dogs That We Love.</w:t>
            </w:r>
            <w:r w:rsidRPr="00666169">
              <w:t xml:space="preserve"> 1st ed. </w:t>
            </w:r>
            <w:r w:rsidRPr="0001499A">
              <w:rPr>
                <w:lang w:val="pl-PL"/>
              </w:rPr>
              <w:t>Boston: Jacobson Ltd., pp. 78</w:t>
            </w:r>
            <w:r>
              <w:rPr>
                <w:lang w:val="pl-PL"/>
              </w:rPr>
              <w:t>–</w:t>
            </w:r>
            <w:r w:rsidRPr="0001499A">
              <w:rPr>
                <w:lang w:val="pl-PL"/>
              </w:rPr>
              <w:t>92.</w:t>
            </w:r>
          </w:p>
          <w:p w:rsidR="00F63911" w:rsidRPr="005707D4" w:rsidRDefault="00F63911" w:rsidP="00EB07BC">
            <w:pPr>
              <w:pStyle w:val="JOFFLReferencelist"/>
              <w:rPr>
                <w:bCs/>
                <w:color w:val="2E74B5" w:themeColor="accent5" w:themeShade="BF"/>
                <w:lang w:val="pl-PL"/>
              </w:rPr>
            </w:pPr>
            <w:r w:rsidRPr="0001499A">
              <w:rPr>
                <w:lang w:val="pl-PL"/>
              </w:rPr>
              <w:t xml:space="preserve">Błędowski, P. (2012). Zaspokajanie potrzeb opiekuńczych ludzi starych. W: J. Kowalski, red., </w:t>
            </w:r>
            <w:r w:rsidRPr="0001499A">
              <w:rPr>
                <w:i/>
                <w:iCs/>
                <w:lang w:val="pl-PL"/>
              </w:rPr>
              <w:t xml:space="preserve">Strategie działania w starzejącym się społeczeństwie. </w:t>
            </w:r>
            <w:proofErr w:type="spellStart"/>
            <w:r w:rsidRPr="00666169">
              <w:rPr>
                <w:i/>
                <w:iCs/>
              </w:rPr>
              <w:t>Tezy</w:t>
            </w:r>
            <w:proofErr w:type="spellEnd"/>
            <w:r w:rsidRPr="00666169">
              <w:rPr>
                <w:i/>
                <w:iCs/>
              </w:rPr>
              <w:t xml:space="preserve"> i </w:t>
            </w:r>
            <w:proofErr w:type="spellStart"/>
            <w:r w:rsidRPr="00666169">
              <w:rPr>
                <w:i/>
                <w:iCs/>
              </w:rPr>
              <w:t>rekomendacje</w:t>
            </w:r>
            <w:proofErr w:type="spellEnd"/>
            <w:r w:rsidRPr="00666169">
              <w:t>. Warszawa: PWE, s</w:t>
            </w:r>
            <w:r>
              <w:t>. 30.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F63911" w:rsidRPr="0066014E" w:rsidRDefault="00F63911" w:rsidP="00EB07BC">
            <w:pPr>
              <w:spacing w:line="240" w:lineRule="auto"/>
              <w:rPr>
                <w:sz w:val="18"/>
              </w:rPr>
            </w:pPr>
            <w:r w:rsidRPr="0066014E">
              <w:rPr>
                <w:sz w:val="18"/>
              </w:rPr>
              <w:t>(</w:t>
            </w:r>
            <w:proofErr w:type="spellStart"/>
            <w:r w:rsidRPr="0066014E">
              <w:rPr>
                <w:sz w:val="18"/>
              </w:rPr>
              <w:t>Bressler</w:t>
            </w:r>
            <w:proofErr w:type="spellEnd"/>
            <w:r w:rsidRPr="0066014E">
              <w:rPr>
                <w:sz w:val="18"/>
              </w:rPr>
              <w:t>, 2010: 78</w:t>
            </w:r>
            <w:r>
              <w:rPr>
                <w:sz w:val="18"/>
              </w:rPr>
              <w:t>–</w:t>
            </w:r>
            <w:r w:rsidRPr="0066014E">
              <w:rPr>
                <w:sz w:val="18"/>
              </w:rPr>
              <w:t>92)</w:t>
            </w:r>
          </w:p>
          <w:p w:rsidR="00F63911" w:rsidRPr="0066014E" w:rsidRDefault="00F63911" w:rsidP="00EB07BC">
            <w:pPr>
              <w:spacing w:line="240" w:lineRule="auto"/>
              <w:rPr>
                <w:sz w:val="18"/>
              </w:rPr>
            </w:pPr>
          </w:p>
          <w:p w:rsidR="00F63911" w:rsidRPr="005707D4" w:rsidRDefault="00F63911" w:rsidP="00EB07BC">
            <w:pPr>
              <w:spacing w:line="240" w:lineRule="auto"/>
              <w:rPr>
                <w:rFonts w:asciiTheme="minorHAnsi" w:hAnsiTheme="minorHAnsi"/>
                <w:color w:val="89B137"/>
                <w:sz w:val="16"/>
                <w:lang w:val="en-US"/>
              </w:rPr>
            </w:pPr>
            <w:r w:rsidRPr="0066014E">
              <w:rPr>
                <w:sz w:val="18"/>
              </w:rPr>
              <w:t>(Błędowski, 2012: 30)</w:t>
            </w:r>
          </w:p>
        </w:tc>
      </w:tr>
      <w:tr w:rsidR="00F63911" w:rsidRPr="005707D4" w:rsidTr="00F63911">
        <w:trPr>
          <w:trHeight w:val="284"/>
        </w:trPr>
        <w:tc>
          <w:tcPr>
            <w:tcW w:w="14170" w:type="dxa"/>
            <w:gridSpan w:val="2"/>
            <w:tcMar>
              <w:left w:w="57" w:type="dxa"/>
              <w:right w:w="57" w:type="dxa"/>
            </w:tcMar>
          </w:tcPr>
          <w:p w:rsidR="00F63911" w:rsidRPr="000A7878" w:rsidRDefault="00F63911" w:rsidP="00F63911">
            <w:pPr>
              <w:pStyle w:val="Akapitzlist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uto"/>
            </w:pPr>
            <w:r w:rsidRPr="00666169">
              <w:t>REDAKCJA KSIĄŻKI / EDITED BOOK</w:t>
            </w:r>
          </w:p>
        </w:tc>
      </w:tr>
      <w:tr w:rsidR="00F63911" w:rsidRPr="005707D4" w:rsidTr="00F63911">
        <w:trPr>
          <w:trHeight w:val="284"/>
        </w:trPr>
        <w:tc>
          <w:tcPr>
            <w:tcW w:w="11052" w:type="dxa"/>
            <w:tcMar>
              <w:left w:w="57" w:type="dxa"/>
              <w:right w:w="57" w:type="dxa"/>
            </w:tcMar>
          </w:tcPr>
          <w:p w:rsidR="00F63911" w:rsidRPr="0001499A" w:rsidRDefault="00F63911" w:rsidP="00EB07BC">
            <w:pPr>
              <w:pStyle w:val="JOFFLReferencelist"/>
              <w:rPr>
                <w:lang w:val="pl-PL"/>
              </w:rPr>
            </w:pPr>
            <w:r w:rsidRPr="00666169">
              <w:t xml:space="preserve">Editor, A.N., ed. (2007). </w:t>
            </w:r>
            <w:r w:rsidRPr="00666169">
              <w:rPr>
                <w:rStyle w:val="Uwydatnienie"/>
              </w:rPr>
              <w:t>Editing a collection: Adventures in anthologies</w:t>
            </w:r>
            <w:r w:rsidRPr="00666169">
              <w:t xml:space="preserve">. </w:t>
            </w:r>
            <w:r w:rsidRPr="0001499A">
              <w:rPr>
                <w:lang w:val="pl-PL"/>
              </w:rPr>
              <w:t>PMP Publications.</w:t>
            </w:r>
          </w:p>
          <w:p w:rsidR="00F63911" w:rsidRPr="000A7878" w:rsidRDefault="00F63911" w:rsidP="00EB07BC">
            <w:pPr>
              <w:pStyle w:val="JOFFLReferencelist"/>
              <w:rPr>
                <w:sz w:val="20"/>
                <w:lang w:val="pl-PL"/>
              </w:rPr>
            </w:pPr>
            <w:r w:rsidRPr="0001499A">
              <w:rPr>
                <w:lang w:val="pl-PL"/>
              </w:rPr>
              <w:t>Lipowski, M., red. (2003)</w:t>
            </w:r>
            <w:r>
              <w:rPr>
                <w:lang w:val="pl-PL"/>
              </w:rPr>
              <w:t>.</w:t>
            </w:r>
            <w:r w:rsidRPr="0001499A">
              <w:rPr>
                <w:lang w:val="pl-PL"/>
              </w:rPr>
              <w:t xml:space="preserve"> </w:t>
            </w:r>
            <w:r w:rsidRPr="00071C66">
              <w:rPr>
                <w:i/>
                <w:lang w:val="pl-PL"/>
              </w:rPr>
              <w:t>Marketing bankowy. Zarządzanie popytem i podażą usług</w:t>
            </w:r>
            <w:r w:rsidRPr="0001499A">
              <w:rPr>
                <w:lang w:val="pl-PL"/>
              </w:rPr>
              <w:t xml:space="preserve">. </w:t>
            </w:r>
            <w:r w:rsidRPr="00666169">
              <w:t xml:space="preserve">Lublin: </w:t>
            </w:r>
            <w:proofErr w:type="spellStart"/>
            <w:r w:rsidRPr="00666169">
              <w:t>Wydawnictwo</w:t>
            </w:r>
            <w:proofErr w:type="spellEnd"/>
            <w:r w:rsidRPr="00666169">
              <w:t xml:space="preserve"> </w:t>
            </w:r>
            <w:proofErr w:type="spellStart"/>
            <w:r w:rsidRPr="00666169">
              <w:t>Uniwersytetu</w:t>
            </w:r>
            <w:proofErr w:type="spellEnd"/>
            <w:r w:rsidRPr="00666169">
              <w:t xml:space="preserve"> </w:t>
            </w:r>
            <w:proofErr w:type="spellStart"/>
            <w:r w:rsidRPr="00666169">
              <w:t>Marii</w:t>
            </w:r>
            <w:proofErr w:type="spellEnd"/>
            <w:r w:rsidRPr="00666169">
              <w:t xml:space="preserve"> Curie-</w:t>
            </w:r>
            <w:proofErr w:type="spellStart"/>
            <w:r w:rsidRPr="00666169">
              <w:t>Skłodowskiej</w:t>
            </w:r>
            <w:proofErr w:type="spellEnd"/>
            <w:r w:rsidRPr="00666169">
              <w:t>.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F63911" w:rsidRPr="0066014E" w:rsidRDefault="00F63911" w:rsidP="00EB07BC">
            <w:pPr>
              <w:spacing w:line="240" w:lineRule="auto"/>
              <w:rPr>
                <w:sz w:val="18"/>
              </w:rPr>
            </w:pPr>
            <w:r w:rsidRPr="0066014E">
              <w:rPr>
                <w:sz w:val="18"/>
              </w:rPr>
              <w:t>(Editor, ed., 2007)</w:t>
            </w:r>
          </w:p>
          <w:p w:rsidR="00F63911" w:rsidRPr="0066014E" w:rsidRDefault="00F63911" w:rsidP="00EB07BC">
            <w:pPr>
              <w:spacing w:line="240" w:lineRule="auto"/>
              <w:rPr>
                <w:rFonts w:asciiTheme="minorHAnsi" w:hAnsiTheme="minorHAnsi"/>
                <w:color w:val="89B137"/>
                <w:sz w:val="18"/>
                <w:lang w:val="en-US"/>
              </w:rPr>
            </w:pPr>
            <w:r w:rsidRPr="0066014E">
              <w:rPr>
                <w:sz w:val="18"/>
              </w:rPr>
              <w:t>(Lipowski, red., 2003)</w:t>
            </w:r>
          </w:p>
        </w:tc>
      </w:tr>
      <w:tr w:rsidR="00F63911" w:rsidRPr="005707D4" w:rsidTr="00F63911">
        <w:trPr>
          <w:trHeight w:val="284"/>
        </w:trPr>
        <w:tc>
          <w:tcPr>
            <w:tcW w:w="14170" w:type="dxa"/>
            <w:gridSpan w:val="2"/>
            <w:tcMar>
              <w:left w:w="57" w:type="dxa"/>
              <w:right w:w="57" w:type="dxa"/>
            </w:tcMar>
          </w:tcPr>
          <w:p w:rsidR="00F63911" w:rsidRPr="000A7878" w:rsidRDefault="00F63911" w:rsidP="00F63911">
            <w:pPr>
              <w:pStyle w:val="Akapitzlist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uto"/>
              <w:rPr>
                <w:lang w:val="en-US"/>
              </w:rPr>
            </w:pPr>
            <w:r w:rsidRPr="00666169">
              <w:rPr>
                <w:lang w:val="en-US"/>
              </w:rPr>
              <w:t xml:space="preserve">DWIE POZYCJE TEGO SAMEGO AUTORA Z TEGO SAMEGO ROKU / MULTIPLE WORKS BY THE SAME AUTHOR IN THE SAME YEAR </w:t>
            </w:r>
          </w:p>
        </w:tc>
      </w:tr>
      <w:tr w:rsidR="00F63911" w:rsidRPr="005707D4" w:rsidTr="00F63911">
        <w:trPr>
          <w:trHeight w:val="284"/>
        </w:trPr>
        <w:tc>
          <w:tcPr>
            <w:tcW w:w="11052" w:type="dxa"/>
            <w:tcMar>
              <w:left w:w="57" w:type="dxa"/>
              <w:right w:w="57" w:type="dxa"/>
            </w:tcMar>
          </w:tcPr>
          <w:p w:rsidR="00F63911" w:rsidRDefault="00F63911" w:rsidP="00EB07BC">
            <w:pPr>
              <w:pStyle w:val="JOFFLReferencelist"/>
            </w:pPr>
            <w:r w:rsidRPr="00F97191">
              <w:t>Brown, D. (2003</w:t>
            </w:r>
            <w:r w:rsidRPr="00666169">
              <w:t>a</w:t>
            </w:r>
            <w:r w:rsidRPr="00F97191">
              <w:t xml:space="preserve">). </w:t>
            </w:r>
            <w:r w:rsidRPr="00666169">
              <w:rPr>
                <w:i/>
              </w:rPr>
              <w:t>Deception point</w:t>
            </w:r>
            <w:r w:rsidRPr="00F97191">
              <w:t>. New York: Atria Books.</w:t>
            </w:r>
          </w:p>
          <w:p w:rsidR="00F63911" w:rsidRPr="005707D4" w:rsidRDefault="00F63911" w:rsidP="00EB07BC">
            <w:pPr>
              <w:pStyle w:val="JOFFLReferencelist"/>
              <w:rPr>
                <w:rFonts w:asciiTheme="minorHAnsi" w:hAnsiTheme="minorHAnsi"/>
                <w:color w:val="89B137"/>
                <w:sz w:val="16"/>
              </w:rPr>
            </w:pPr>
            <w:r w:rsidRPr="00666169">
              <w:t xml:space="preserve">Brown, D. (2003b). </w:t>
            </w:r>
            <w:r w:rsidRPr="00666169">
              <w:rPr>
                <w:i/>
              </w:rPr>
              <w:t>The Da Vinci code</w:t>
            </w:r>
            <w:r w:rsidRPr="00666169">
              <w:t>. New York: Doubleday.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F63911" w:rsidRPr="0066014E" w:rsidRDefault="00F63911" w:rsidP="00EB07BC">
            <w:pPr>
              <w:spacing w:line="240" w:lineRule="auto"/>
              <w:rPr>
                <w:sz w:val="18"/>
                <w:lang w:val="en-US"/>
              </w:rPr>
            </w:pPr>
            <w:r w:rsidRPr="0066014E">
              <w:rPr>
                <w:sz w:val="18"/>
                <w:lang w:val="en-US"/>
              </w:rPr>
              <w:t>(Brown, 2003a: 101)</w:t>
            </w:r>
          </w:p>
          <w:p w:rsidR="00F63911" w:rsidRPr="005707D4" w:rsidRDefault="00F63911" w:rsidP="00EB07BC">
            <w:pPr>
              <w:spacing w:line="240" w:lineRule="auto"/>
              <w:rPr>
                <w:rFonts w:asciiTheme="minorHAnsi" w:hAnsiTheme="minorHAnsi"/>
                <w:color w:val="89B137"/>
                <w:sz w:val="16"/>
                <w:lang w:val="en-US"/>
              </w:rPr>
            </w:pPr>
            <w:r w:rsidRPr="0066014E">
              <w:rPr>
                <w:sz w:val="18"/>
                <w:lang w:val="en-US"/>
              </w:rPr>
              <w:t>(Brown, 2003b: 24)</w:t>
            </w:r>
          </w:p>
        </w:tc>
      </w:tr>
      <w:tr w:rsidR="00F63911" w:rsidRPr="000A7878" w:rsidTr="00F63911">
        <w:trPr>
          <w:trHeight w:val="284"/>
        </w:trPr>
        <w:tc>
          <w:tcPr>
            <w:tcW w:w="14170" w:type="dxa"/>
            <w:gridSpan w:val="2"/>
            <w:tcMar>
              <w:left w:w="57" w:type="dxa"/>
              <w:right w:w="57" w:type="dxa"/>
            </w:tcMar>
          </w:tcPr>
          <w:p w:rsidR="00F63911" w:rsidRPr="000A7878" w:rsidRDefault="00F63911" w:rsidP="00F63911">
            <w:pPr>
              <w:pStyle w:val="JOFFLBibliografiapozycje"/>
              <w:numPr>
                <w:ilvl w:val="0"/>
                <w:numId w:val="1"/>
              </w:numPr>
              <w:shd w:val="clear" w:color="auto" w:fill="D9D9D9" w:themeFill="background1" w:themeFillShade="D9"/>
              <w:jc w:val="left"/>
              <w:rPr>
                <w:rFonts w:eastAsiaTheme="minorHAnsi"/>
                <w:sz w:val="22"/>
                <w:szCs w:val="22"/>
                <w:lang w:val="pl-PL" w:eastAsia="en-US"/>
              </w:rPr>
            </w:pPr>
            <w:r w:rsidRPr="00666169">
              <w:rPr>
                <w:rFonts w:eastAsiaTheme="minorHAnsi"/>
                <w:sz w:val="22"/>
                <w:szCs w:val="22"/>
                <w:lang w:val="pl-PL" w:eastAsia="en-US"/>
              </w:rPr>
              <w:t>PRACA BEZ PODANEGO AUTORA / BOOK WITH NO AUTHOR</w:t>
            </w:r>
          </w:p>
        </w:tc>
      </w:tr>
      <w:tr w:rsidR="00F63911" w:rsidRPr="000A7878" w:rsidTr="00F63911">
        <w:trPr>
          <w:trHeight w:val="284"/>
        </w:trPr>
        <w:tc>
          <w:tcPr>
            <w:tcW w:w="11052" w:type="dxa"/>
            <w:tcMar>
              <w:left w:w="57" w:type="dxa"/>
              <w:right w:w="57" w:type="dxa"/>
            </w:tcMar>
          </w:tcPr>
          <w:p w:rsidR="00F63911" w:rsidRPr="0001499A" w:rsidRDefault="00F63911" w:rsidP="00EB07BC">
            <w:pPr>
              <w:pStyle w:val="JOFFLReferencelist"/>
              <w:rPr>
                <w:lang w:val="pl-PL"/>
              </w:rPr>
            </w:pPr>
            <w:r w:rsidRPr="0066014E">
              <w:rPr>
                <w:i/>
                <w:iCs/>
              </w:rPr>
              <w:t>Merriam-Webster's collegiate dictionary</w:t>
            </w:r>
            <w:r w:rsidRPr="0066014E">
              <w:t xml:space="preserve"> (11th ed.) </w:t>
            </w:r>
            <w:r w:rsidRPr="0001499A">
              <w:rPr>
                <w:lang w:val="pl-PL"/>
              </w:rPr>
              <w:t xml:space="preserve">(2005). Springfield, MA: </w:t>
            </w:r>
            <w:proofErr w:type="spellStart"/>
            <w:r w:rsidRPr="0001499A">
              <w:rPr>
                <w:lang w:val="pl-PL"/>
              </w:rPr>
              <w:t>Merriam</w:t>
            </w:r>
            <w:proofErr w:type="spellEnd"/>
            <w:r w:rsidRPr="0001499A">
              <w:rPr>
                <w:lang w:val="pl-PL"/>
              </w:rPr>
              <w:t>-Webster. </w:t>
            </w:r>
          </w:p>
          <w:p w:rsidR="00F63911" w:rsidRPr="000A7878" w:rsidRDefault="00F63911" w:rsidP="00EB07BC">
            <w:pPr>
              <w:pStyle w:val="JOFFLReferencelist"/>
              <w:rPr>
                <w:rFonts w:eastAsiaTheme="minorHAnsi"/>
                <w:sz w:val="22"/>
                <w:szCs w:val="22"/>
                <w:lang w:val="pl-PL" w:eastAsia="en-US"/>
              </w:rPr>
            </w:pPr>
            <w:r w:rsidRPr="0066014E">
              <w:rPr>
                <w:rFonts w:eastAsiaTheme="minorHAnsi"/>
                <w:i/>
                <w:lang w:val="pl-PL" w:eastAsia="en-US"/>
              </w:rPr>
              <w:t>Emerytury i renty w 2009 roku</w:t>
            </w:r>
            <w:r w:rsidRPr="0066014E">
              <w:rPr>
                <w:rFonts w:eastAsiaTheme="minorHAnsi"/>
                <w:lang w:val="pl-PL" w:eastAsia="en-US"/>
              </w:rPr>
              <w:t xml:space="preserve"> (2010). Informacje i opracowania statystyczne, Warszawa: GUS.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F63911" w:rsidRPr="0066014E" w:rsidRDefault="00F63911" w:rsidP="00EB07BC">
            <w:pPr>
              <w:spacing w:line="240" w:lineRule="auto"/>
              <w:rPr>
                <w:sz w:val="18"/>
                <w:szCs w:val="18"/>
              </w:rPr>
            </w:pPr>
            <w:r w:rsidRPr="0066014E">
              <w:rPr>
                <w:sz w:val="18"/>
                <w:szCs w:val="18"/>
              </w:rPr>
              <w:t>(</w:t>
            </w:r>
            <w:proofErr w:type="spellStart"/>
            <w:r w:rsidRPr="0066014E">
              <w:rPr>
                <w:i/>
                <w:iCs/>
                <w:color w:val="000000"/>
                <w:sz w:val="18"/>
                <w:szCs w:val="18"/>
              </w:rPr>
              <w:t>Merriam-Webster's</w:t>
            </w:r>
            <w:proofErr w:type="spellEnd"/>
            <w:r w:rsidRPr="0066014E">
              <w:rPr>
                <w:i/>
                <w:iCs/>
                <w:color w:val="000000"/>
                <w:sz w:val="18"/>
                <w:szCs w:val="18"/>
              </w:rPr>
              <w:t>…</w:t>
            </w:r>
            <w:r w:rsidRPr="0066014E">
              <w:rPr>
                <w:sz w:val="18"/>
                <w:szCs w:val="18"/>
              </w:rPr>
              <w:t>, 2005)</w:t>
            </w:r>
          </w:p>
          <w:p w:rsidR="00F63911" w:rsidRPr="000A7878" w:rsidRDefault="00F63911" w:rsidP="00EB07BC">
            <w:pPr>
              <w:spacing w:line="240" w:lineRule="auto"/>
              <w:rPr>
                <w:rFonts w:asciiTheme="minorHAnsi" w:hAnsiTheme="minorHAnsi"/>
                <w:color w:val="89B137"/>
                <w:sz w:val="16"/>
              </w:rPr>
            </w:pPr>
            <w:r w:rsidRPr="0066014E">
              <w:rPr>
                <w:sz w:val="18"/>
                <w:szCs w:val="18"/>
              </w:rPr>
              <w:t>(</w:t>
            </w:r>
            <w:r w:rsidRPr="0066014E">
              <w:rPr>
                <w:i/>
                <w:sz w:val="18"/>
                <w:szCs w:val="18"/>
              </w:rPr>
              <w:t>Emerytury i renty…</w:t>
            </w:r>
            <w:r w:rsidRPr="0066014E">
              <w:rPr>
                <w:sz w:val="18"/>
                <w:szCs w:val="18"/>
              </w:rPr>
              <w:t>, 2010)</w:t>
            </w:r>
          </w:p>
        </w:tc>
      </w:tr>
      <w:tr w:rsidR="00F63911" w:rsidRPr="00E23CE0" w:rsidTr="00F63911">
        <w:trPr>
          <w:trHeight w:val="284"/>
        </w:trPr>
        <w:tc>
          <w:tcPr>
            <w:tcW w:w="14170" w:type="dxa"/>
            <w:gridSpan w:val="2"/>
            <w:shd w:val="clear" w:color="auto" w:fill="7B7B7B" w:themeFill="accent3" w:themeFillShade="BF"/>
            <w:tcMar>
              <w:left w:w="57" w:type="dxa"/>
              <w:right w:w="57" w:type="dxa"/>
            </w:tcMar>
          </w:tcPr>
          <w:p w:rsidR="00F63911" w:rsidRPr="00E23CE0" w:rsidRDefault="00F63911" w:rsidP="00EB07BC">
            <w:pPr>
              <w:tabs>
                <w:tab w:val="left" w:pos="2730"/>
              </w:tabs>
              <w:spacing w:line="240" w:lineRule="auto"/>
              <w:jc w:val="center"/>
              <w:rPr>
                <w:rFonts w:asciiTheme="minorHAnsi" w:hAnsiTheme="minorHAnsi"/>
                <w:color w:val="89B137"/>
                <w:sz w:val="16"/>
                <w:lang w:val="en-US"/>
              </w:rPr>
            </w:pPr>
            <w:r w:rsidRPr="00E23CE0">
              <w:rPr>
                <w:rFonts w:eastAsia="Calibri"/>
                <w:sz w:val="28"/>
                <w:szCs w:val="22"/>
                <w:lang w:eastAsia="en-US"/>
              </w:rPr>
              <w:t>CZASOPISMA, GAZETY / JOURNALS, NEWSPAPERS</w:t>
            </w:r>
          </w:p>
        </w:tc>
      </w:tr>
      <w:tr w:rsidR="00F63911" w:rsidRPr="000A7878" w:rsidTr="00F63911">
        <w:trPr>
          <w:trHeight w:val="284"/>
        </w:trPr>
        <w:tc>
          <w:tcPr>
            <w:tcW w:w="14170" w:type="dxa"/>
            <w:gridSpan w:val="2"/>
            <w:tcMar>
              <w:left w:w="57" w:type="dxa"/>
              <w:right w:w="57" w:type="dxa"/>
            </w:tcMar>
          </w:tcPr>
          <w:p w:rsidR="00F63911" w:rsidRPr="00E23CE0" w:rsidRDefault="00F63911" w:rsidP="00F63911">
            <w:pPr>
              <w:pStyle w:val="Akapitzlist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uto"/>
            </w:pPr>
            <w:r w:rsidRPr="00666169">
              <w:t>ARTYKUŁ W DRUKOWANYM CZASOPIŚMIE / PRINT JOURNAL ARTICLES</w:t>
            </w:r>
          </w:p>
        </w:tc>
      </w:tr>
      <w:tr w:rsidR="00F63911" w:rsidRPr="000A7878" w:rsidTr="00F63911">
        <w:trPr>
          <w:trHeight w:val="284"/>
        </w:trPr>
        <w:tc>
          <w:tcPr>
            <w:tcW w:w="11052" w:type="dxa"/>
            <w:tcMar>
              <w:left w:w="57" w:type="dxa"/>
              <w:right w:w="57" w:type="dxa"/>
            </w:tcMar>
          </w:tcPr>
          <w:p w:rsidR="00F63911" w:rsidRPr="00613E43" w:rsidRDefault="00F63911" w:rsidP="00EB07BC">
            <w:pPr>
              <w:pStyle w:val="JOFFLReferencelist"/>
              <w:rPr>
                <w:lang w:val="pl-PL"/>
              </w:rPr>
            </w:pPr>
            <w:r w:rsidRPr="00E23CE0">
              <w:t xml:space="preserve">Ross, N. (2015). </w:t>
            </w:r>
            <w:r w:rsidRPr="00666169">
              <w:t xml:space="preserve">On Truth Content and False Consciousness in Adorno’s Aesthetic Theory. </w:t>
            </w:r>
            <w:proofErr w:type="spellStart"/>
            <w:r w:rsidRPr="00613E43">
              <w:rPr>
                <w:rStyle w:val="Uwydatnienie"/>
                <w:lang w:val="pl-PL"/>
              </w:rPr>
              <w:t>Philosophy</w:t>
            </w:r>
            <w:proofErr w:type="spellEnd"/>
            <w:r w:rsidRPr="00613E43">
              <w:rPr>
                <w:rStyle w:val="Uwydatnienie"/>
                <w:lang w:val="pl-PL"/>
              </w:rPr>
              <w:t xml:space="preserve"> </w:t>
            </w:r>
            <w:proofErr w:type="spellStart"/>
            <w:r w:rsidRPr="00613E43">
              <w:rPr>
                <w:rStyle w:val="Uwydatnienie"/>
                <w:lang w:val="pl-PL"/>
              </w:rPr>
              <w:t>Today</w:t>
            </w:r>
            <w:proofErr w:type="spellEnd"/>
            <w:r w:rsidRPr="00613E43">
              <w:rPr>
                <w:lang w:val="pl-PL"/>
              </w:rPr>
              <w:t>, 59(2), pp. 269–290.</w:t>
            </w:r>
          </w:p>
          <w:p w:rsidR="00F63911" w:rsidRPr="00E23CE0" w:rsidRDefault="00F63911" w:rsidP="00EB07BC">
            <w:pPr>
              <w:pStyle w:val="JOFFLReferencelist"/>
              <w:rPr>
                <w:sz w:val="20"/>
              </w:rPr>
            </w:pPr>
            <w:r w:rsidRPr="00613E43">
              <w:rPr>
                <w:lang w:val="pl-PL"/>
              </w:rPr>
              <w:t xml:space="preserve">Kądziołka, K. (2014). Wpływ wybranych czynników o charakterze społeczno-ekonomicznym na przestępczość przeciwko mieniu w Polsce. </w:t>
            </w:r>
            <w:proofErr w:type="spellStart"/>
            <w:r w:rsidRPr="00666169">
              <w:rPr>
                <w:i/>
                <w:iCs/>
              </w:rPr>
              <w:t>Studia</w:t>
            </w:r>
            <w:proofErr w:type="spellEnd"/>
            <w:r w:rsidRPr="00666169">
              <w:rPr>
                <w:i/>
                <w:iCs/>
              </w:rPr>
              <w:t xml:space="preserve"> </w:t>
            </w:r>
            <w:proofErr w:type="spellStart"/>
            <w:r w:rsidRPr="00666169">
              <w:rPr>
                <w:i/>
                <w:iCs/>
              </w:rPr>
              <w:t>Ekonomiczne</w:t>
            </w:r>
            <w:proofErr w:type="spellEnd"/>
            <w:r w:rsidRPr="00666169">
              <w:t>, 181, ss. 15</w:t>
            </w:r>
            <w:r>
              <w:t>–</w:t>
            </w:r>
            <w:r w:rsidRPr="00666169">
              <w:t>23.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F63911" w:rsidRDefault="00F63911" w:rsidP="00EB07BC">
            <w:pPr>
              <w:spacing w:line="240" w:lineRule="auto"/>
              <w:rPr>
                <w:sz w:val="18"/>
              </w:rPr>
            </w:pPr>
            <w:r w:rsidRPr="00E23CE0">
              <w:rPr>
                <w:sz w:val="18"/>
              </w:rPr>
              <w:t>(Ross, 2015: 269</w:t>
            </w:r>
            <w:r>
              <w:rPr>
                <w:sz w:val="18"/>
              </w:rPr>
              <w:t>–</w:t>
            </w:r>
            <w:r w:rsidRPr="00E23CE0">
              <w:rPr>
                <w:sz w:val="18"/>
              </w:rPr>
              <w:t>290</w:t>
            </w:r>
            <w:r>
              <w:rPr>
                <w:sz w:val="18"/>
              </w:rPr>
              <w:t>)</w:t>
            </w:r>
          </w:p>
          <w:p w:rsidR="00F63911" w:rsidRDefault="00F63911" w:rsidP="00EB07BC">
            <w:pPr>
              <w:spacing w:line="240" w:lineRule="auto"/>
              <w:rPr>
                <w:sz w:val="18"/>
              </w:rPr>
            </w:pPr>
          </w:p>
          <w:p w:rsidR="00F63911" w:rsidRPr="000A7878" w:rsidRDefault="00F63911" w:rsidP="00EB07BC">
            <w:pPr>
              <w:spacing w:line="240" w:lineRule="auto"/>
              <w:rPr>
                <w:rFonts w:asciiTheme="minorHAnsi" w:hAnsiTheme="minorHAnsi"/>
                <w:color w:val="89B137"/>
                <w:sz w:val="16"/>
              </w:rPr>
            </w:pPr>
            <w:r>
              <w:rPr>
                <w:sz w:val="18"/>
              </w:rPr>
              <w:t>(</w:t>
            </w:r>
            <w:r w:rsidRPr="00E23CE0">
              <w:rPr>
                <w:sz w:val="18"/>
              </w:rPr>
              <w:t>Kądziołka, 2014: 15</w:t>
            </w:r>
            <w:r>
              <w:rPr>
                <w:sz w:val="18"/>
              </w:rPr>
              <w:t>–</w:t>
            </w:r>
            <w:r w:rsidRPr="00E23CE0">
              <w:rPr>
                <w:sz w:val="18"/>
              </w:rPr>
              <w:t>23)</w:t>
            </w:r>
          </w:p>
        </w:tc>
      </w:tr>
      <w:tr w:rsidR="00F63911" w:rsidRPr="00CB45C2" w:rsidTr="00F63911">
        <w:trPr>
          <w:trHeight w:val="284"/>
        </w:trPr>
        <w:tc>
          <w:tcPr>
            <w:tcW w:w="14170" w:type="dxa"/>
            <w:gridSpan w:val="2"/>
            <w:tcMar>
              <w:left w:w="57" w:type="dxa"/>
              <w:right w:w="57" w:type="dxa"/>
            </w:tcMar>
          </w:tcPr>
          <w:p w:rsidR="00F63911" w:rsidRPr="00E23CE0" w:rsidRDefault="00F63911" w:rsidP="00F63911">
            <w:pPr>
              <w:pStyle w:val="Akapitzlist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uto"/>
              <w:rPr>
                <w:lang w:val="en-US"/>
              </w:rPr>
            </w:pPr>
            <w:r w:rsidRPr="00666169">
              <w:rPr>
                <w:lang w:val="en-US"/>
              </w:rPr>
              <w:t>ARTYKUŁ W GAZECIE / PRINT NEWSPAPER ARTICLES</w:t>
            </w:r>
          </w:p>
        </w:tc>
      </w:tr>
      <w:tr w:rsidR="00F63911" w:rsidRPr="00E23CE0" w:rsidTr="00F63911">
        <w:trPr>
          <w:trHeight w:val="284"/>
        </w:trPr>
        <w:tc>
          <w:tcPr>
            <w:tcW w:w="11052" w:type="dxa"/>
            <w:tcMar>
              <w:left w:w="57" w:type="dxa"/>
              <w:right w:w="57" w:type="dxa"/>
            </w:tcMar>
          </w:tcPr>
          <w:p w:rsidR="00F63911" w:rsidRPr="00E23CE0" w:rsidRDefault="00F63911" w:rsidP="00EB07BC">
            <w:pPr>
              <w:pStyle w:val="JOFFLReferencelist"/>
              <w:rPr>
                <w:sz w:val="20"/>
              </w:rPr>
            </w:pPr>
            <w:r w:rsidRPr="00666169">
              <w:t xml:space="preserve">Weisman, J. (2015). Deal Reached on Fast-Track Authority for Obama on Trade Accord. </w:t>
            </w:r>
            <w:r w:rsidRPr="00666169">
              <w:rPr>
                <w:rStyle w:val="Uwydatnienie"/>
              </w:rPr>
              <w:t>The New York Times</w:t>
            </w:r>
            <w:r w:rsidRPr="00666169">
              <w:t>, p. A1.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F63911" w:rsidRPr="00E23CE0" w:rsidRDefault="00F63911" w:rsidP="00EB07BC">
            <w:pPr>
              <w:spacing w:line="240" w:lineRule="auto"/>
              <w:rPr>
                <w:rFonts w:asciiTheme="minorHAnsi" w:hAnsiTheme="minorHAnsi"/>
                <w:color w:val="89B137"/>
                <w:sz w:val="16"/>
                <w:lang w:val="en-US"/>
              </w:rPr>
            </w:pPr>
            <w:r w:rsidRPr="00E23CE0">
              <w:rPr>
                <w:sz w:val="18"/>
                <w:lang w:val="en-US"/>
              </w:rPr>
              <w:t>(Weisman, 2015: A1).</w:t>
            </w:r>
          </w:p>
        </w:tc>
      </w:tr>
      <w:tr w:rsidR="00F63911" w:rsidRPr="00CB45C2" w:rsidTr="00F63911">
        <w:trPr>
          <w:trHeight w:val="284"/>
        </w:trPr>
        <w:tc>
          <w:tcPr>
            <w:tcW w:w="14170" w:type="dxa"/>
            <w:gridSpan w:val="2"/>
            <w:tcMar>
              <w:left w:w="57" w:type="dxa"/>
              <w:right w:w="57" w:type="dxa"/>
            </w:tcMar>
          </w:tcPr>
          <w:p w:rsidR="00F63911" w:rsidRPr="00E23CE0" w:rsidRDefault="00F63911" w:rsidP="00F63911">
            <w:pPr>
              <w:pStyle w:val="Akapitzlist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uto"/>
              <w:rPr>
                <w:lang w:val="en-US"/>
              </w:rPr>
            </w:pPr>
            <w:r w:rsidRPr="00666169">
              <w:rPr>
                <w:lang w:val="en-US"/>
              </w:rPr>
              <w:t>ARTYKUŁY ZAMIESZCZONE W INTERNECIE / ARTICLES FOUND ON A DATABASE OR ON A WEBSITE</w:t>
            </w:r>
          </w:p>
        </w:tc>
      </w:tr>
      <w:tr w:rsidR="00F63911" w:rsidRPr="00E23CE0" w:rsidTr="00F63911">
        <w:trPr>
          <w:trHeight w:val="284"/>
        </w:trPr>
        <w:tc>
          <w:tcPr>
            <w:tcW w:w="11052" w:type="dxa"/>
            <w:tcMar>
              <w:left w:w="57" w:type="dxa"/>
              <w:right w:w="57" w:type="dxa"/>
            </w:tcMar>
          </w:tcPr>
          <w:p w:rsidR="00F63911" w:rsidRPr="00666169" w:rsidRDefault="00F63911" w:rsidP="00EB07BC">
            <w:pPr>
              <w:pStyle w:val="JOFFLReferencelist"/>
            </w:pPr>
            <w:r w:rsidRPr="00E23CE0">
              <w:t xml:space="preserve">Raina, S. (2015). </w:t>
            </w:r>
            <w:r w:rsidRPr="00666169">
              <w:t xml:space="preserve">Establishing Correlation Between Genetics and Nonresponse. </w:t>
            </w:r>
            <w:r w:rsidRPr="00666169">
              <w:rPr>
                <w:rStyle w:val="Uwydatnienie"/>
              </w:rPr>
              <w:t>Journal of Postgraduate Medicine</w:t>
            </w:r>
            <w:r w:rsidRPr="00666169">
              <w:t xml:space="preserve">, [online] 61(2), p. 148, </w:t>
            </w:r>
            <w:hyperlink r:id="rId5" w:history="1">
              <w:r w:rsidRPr="00F074C7">
                <w:rPr>
                  <w:rStyle w:val="Hipercze"/>
                </w:rPr>
                <w:t>http://www.proquest.com/products-services/ProQuest-Research-Library.html</w:t>
              </w:r>
            </w:hyperlink>
            <w:r>
              <w:t xml:space="preserve"> </w:t>
            </w:r>
            <w:r w:rsidRPr="00666169">
              <w:t>[Accessed 8.04.2015].</w:t>
            </w:r>
          </w:p>
          <w:p w:rsidR="00F63911" w:rsidRPr="00E23CE0" w:rsidRDefault="00F63911" w:rsidP="00EB07BC">
            <w:pPr>
              <w:pStyle w:val="JOFFLReferencelist"/>
              <w:rPr>
                <w:rFonts w:asciiTheme="minorHAnsi" w:hAnsiTheme="minorHAnsi"/>
                <w:color w:val="89B137"/>
                <w:sz w:val="16"/>
                <w:lang w:val="pl-PL"/>
              </w:rPr>
            </w:pPr>
            <w:r w:rsidRPr="00CB45C2">
              <w:rPr>
                <w:lang w:val="pl-PL"/>
              </w:rPr>
              <w:t xml:space="preserve">Mirowska-Łoskot, U. (2016). Wszystko co musisz wiedzieć o kredycie studenckim,   </w:t>
            </w:r>
            <w:hyperlink r:id="rId6" w:history="1">
              <w:r w:rsidRPr="00F074C7">
                <w:rPr>
                  <w:rStyle w:val="Hipercze"/>
                  <w:lang w:val="pl-PL"/>
                </w:rPr>
                <w:t>https://serwisy.gazetaprawna.pl/edukacja/artykuly/979448,kredyt-studencki-jak-uzyskacsplata.html</w:t>
              </w:r>
            </w:hyperlink>
            <w:r>
              <w:rPr>
                <w:lang w:val="pl-PL"/>
              </w:rPr>
              <w:t xml:space="preserve"> </w:t>
            </w:r>
            <w:r w:rsidRPr="00CB45C2">
              <w:rPr>
                <w:lang w:val="pl-PL"/>
              </w:rPr>
              <w:t xml:space="preserve"> [dostęp 28.09.2016].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F63911" w:rsidRDefault="00F63911" w:rsidP="00EB07BC">
            <w:pPr>
              <w:spacing w:line="240" w:lineRule="auto"/>
              <w:rPr>
                <w:sz w:val="18"/>
              </w:rPr>
            </w:pPr>
            <w:r w:rsidRPr="00E23CE0">
              <w:rPr>
                <w:sz w:val="18"/>
              </w:rPr>
              <w:t>(</w:t>
            </w:r>
            <w:proofErr w:type="spellStart"/>
            <w:r w:rsidRPr="00E23CE0">
              <w:rPr>
                <w:sz w:val="18"/>
              </w:rPr>
              <w:t>Raina</w:t>
            </w:r>
            <w:proofErr w:type="spellEnd"/>
            <w:r w:rsidRPr="00E23CE0">
              <w:rPr>
                <w:sz w:val="18"/>
              </w:rPr>
              <w:t>, 2015: 148</w:t>
            </w:r>
            <w:r>
              <w:rPr>
                <w:sz w:val="18"/>
              </w:rPr>
              <w:t>)</w:t>
            </w:r>
          </w:p>
          <w:p w:rsidR="00F63911" w:rsidRDefault="00F63911" w:rsidP="00EB07BC">
            <w:pPr>
              <w:spacing w:line="240" w:lineRule="auto"/>
              <w:rPr>
                <w:sz w:val="18"/>
              </w:rPr>
            </w:pPr>
          </w:p>
          <w:p w:rsidR="00F63911" w:rsidRDefault="00F63911" w:rsidP="00EB07BC">
            <w:pPr>
              <w:spacing w:line="240" w:lineRule="auto"/>
              <w:rPr>
                <w:sz w:val="18"/>
              </w:rPr>
            </w:pPr>
          </w:p>
          <w:p w:rsidR="00F63911" w:rsidRPr="00E23CE0" w:rsidRDefault="00F63911" w:rsidP="00EB07BC">
            <w:pPr>
              <w:spacing w:line="240" w:lineRule="auto"/>
              <w:rPr>
                <w:rFonts w:asciiTheme="minorHAnsi" w:hAnsiTheme="minorHAnsi"/>
                <w:color w:val="89B137"/>
                <w:sz w:val="16"/>
              </w:rPr>
            </w:pPr>
            <w:r>
              <w:rPr>
                <w:sz w:val="18"/>
              </w:rPr>
              <w:t>(</w:t>
            </w:r>
            <w:r w:rsidRPr="00E23CE0">
              <w:rPr>
                <w:sz w:val="18"/>
              </w:rPr>
              <w:t>Mirowska-Łoskot, 2016)</w:t>
            </w:r>
          </w:p>
        </w:tc>
      </w:tr>
      <w:tr w:rsidR="00F63911" w:rsidRPr="00E23CE0" w:rsidTr="00F63911">
        <w:trPr>
          <w:trHeight w:val="284"/>
        </w:trPr>
        <w:tc>
          <w:tcPr>
            <w:tcW w:w="14170" w:type="dxa"/>
            <w:gridSpan w:val="2"/>
            <w:shd w:val="clear" w:color="auto" w:fill="7B7B7B" w:themeFill="accent3" w:themeFillShade="BF"/>
            <w:tcMar>
              <w:left w:w="57" w:type="dxa"/>
              <w:right w:w="57" w:type="dxa"/>
            </w:tcMar>
          </w:tcPr>
          <w:p w:rsidR="00F63911" w:rsidRPr="00E23CE0" w:rsidRDefault="00F63911" w:rsidP="00EB07BC">
            <w:pPr>
              <w:tabs>
                <w:tab w:val="left" w:pos="273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color w:val="89B137"/>
                <w:sz w:val="16"/>
              </w:rPr>
            </w:pPr>
            <w:r w:rsidRPr="00E23CE0">
              <w:rPr>
                <w:sz w:val="28"/>
              </w:rPr>
              <w:lastRenderedPageBreak/>
              <w:t xml:space="preserve">PUBLIKACJE PRZYGOTOWANE PRZEZ ORGANIZACJE, SKRÓTY, RAPORTY </w:t>
            </w:r>
            <w:r w:rsidRPr="00E23CE0">
              <w:rPr>
                <w:sz w:val="28"/>
                <w:szCs w:val="28"/>
              </w:rPr>
              <w:t>/ CORPORATE AUTHOR(S), ACRONYMS, REPORTS</w:t>
            </w:r>
          </w:p>
        </w:tc>
      </w:tr>
      <w:tr w:rsidR="00F63911" w:rsidRPr="00E23CE0" w:rsidTr="00F63911">
        <w:trPr>
          <w:trHeight w:val="284"/>
        </w:trPr>
        <w:tc>
          <w:tcPr>
            <w:tcW w:w="11052" w:type="dxa"/>
            <w:tcMar>
              <w:left w:w="57" w:type="dxa"/>
              <w:right w:w="57" w:type="dxa"/>
            </w:tcMar>
          </w:tcPr>
          <w:p w:rsidR="00F63911" w:rsidRPr="00666169" w:rsidRDefault="00F63911" w:rsidP="00EB07BC">
            <w:pPr>
              <w:pStyle w:val="JOFFLReferencelist"/>
            </w:pPr>
            <w:proofErr w:type="spellStart"/>
            <w:r w:rsidRPr="00666169">
              <w:t>Organisation</w:t>
            </w:r>
            <w:proofErr w:type="spellEnd"/>
            <w:r w:rsidRPr="00666169">
              <w:t xml:space="preserve"> for Economic Co-operation and Development [OECD], (2011). </w:t>
            </w:r>
            <w:r w:rsidRPr="00666169">
              <w:rPr>
                <w:i/>
              </w:rPr>
              <w:t>African Economic Outlook 2011: Africa and its Emerging Partners</w:t>
            </w:r>
            <w:r w:rsidRPr="00666169">
              <w:t xml:space="preserve">, OECD Publishing, </w:t>
            </w:r>
            <w:hyperlink r:id="rId7" w:history="1">
              <w:r w:rsidRPr="00F074C7">
                <w:rPr>
                  <w:rStyle w:val="Hipercze"/>
                </w:rPr>
                <w:t>http://dx.doi.org/10.1787/aeo-2011-en</w:t>
              </w:r>
            </w:hyperlink>
            <w:r>
              <w:t xml:space="preserve"> </w:t>
            </w:r>
          </w:p>
          <w:p w:rsidR="00F63911" w:rsidRPr="00666169" w:rsidRDefault="00F63911" w:rsidP="00EB07BC">
            <w:pPr>
              <w:pStyle w:val="JOFFLReferencelist"/>
            </w:pPr>
            <w:r w:rsidRPr="00666169">
              <w:t xml:space="preserve">Certify, (2015). </w:t>
            </w:r>
            <w:r w:rsidRPr="00666169">
              <w:rPr>
                <w:i/>
              </w:rPr>
              <w:t>First Quarter, 2015 Business Expense Trends</w:t>
            </w:r>
            <w:r w:rsidRPr="00666169">
              <w:t xml:space="preserve">. [online] Portland: Certify, p. 2, </w:t>
            </w:r>
            <w:hyperlink r:id="rId8" w:history="1">
              <w:r w:rsidRPr="00F074C7">
                <w:rPr>
                  <w:rStyle w:val="Hipercze"/>
                </w:rPr>
                <w:t>http://www.certify.com/CertifySpendSmartReport.aspx</w:t>
              </w:r>
            </w:hyperlink>
            <w:r>
              <w:t xml:space="preserve"> </w:t>
            </w:r>
            <w:r w:rsidRPr="00666169">
              <w:t xml:space="preserve"> [Accessed 8.04.2015].</w:t>
            </w:r>
          </w:p>
          <w:p w:rsidR="00F63911" w:rsidRPr="00666169" w:rsidRDefault="00F63911" w:rsidP="00EB07BC">
            <w:pPr>
              <w:pStyle w:val="JOFFLReferencelist"/>
            </w:pPr>
            <w:r w:rsidRPr="00666169">
              <w:t>European Commission [EC], (2007). </w:t>
            </w:r>
            <w:r w:rsidRPr="00666169">
              <w:rPr>
                <w:i/>
                <w:iCs/>
              </w:rPr>
              <w:t xml:space="preserve">Making </w:t>
            </w:r>
            <w:proofErr w:type="spellStart"/>
            <w:r w:rsidRPr="00666169">
              <w:rPr>
                <w:i/>
                <w:iCs/>
              </w:rPr>
              <w:t>globalisation</w:t>
            </w:r>
            <w:proofErr w:type="spellEnd"/>
            <w:r w:rsidRPr="00666169">
              <w:rPr>
                <w:i/>
                <w:iCs/>
              </w:rPr>
              <w:t xml:space="preserve"> profitable</w:t>
            </w:r>
            <w:r w:rsidRPr="00666169">
              <w:t>. Luxembourg: Office for Official Publications of the European Communities.</w:t>
            </w:r>
          </w:p>
          <w:p w:rsidR="00F63911" w:rsidRPr="00CB45C2" w:rsidRDefault="00F63911" w:rsidP="00EB07BC">
            <w:pPr>
              <w:pStyle w:val="JOFFLReferencelist"/>
              <w:rPr>
                <w:lang w:val="pl-PL"/>
              </w:rPr>
            </w:pPr>
            <w:r w:rsidRPr="00216145">
              <w:t xml:space="preserve">KNF, (2017). </w:t>
            </w:r>
            <w:r w:rsidRPr="00CB45C2">
              <w:rPr>
                <w:i/>
                <w:lang w:val="pl-PL"/>
              </w:rPr>
              <w:t>Raport z prac Zespołu roboczego ds. rozwoju innowacji finansowych (</w:t>
            </w:r>
            <w:proofErr w:type="spellStart"/>
            <w:r w:rsidRPr="00CB45C2">
              <w:rPr>
                <w:i/>
                <w:lang w:val="pl-PL"/>
              </w:rPr>
              <w:t>FinTech</w:t>
            </w:r>
            <w:proofErr w:type="spellEnd"/>
            <w:r w:rsidRPr="00CB45C2">
              <w:rPr>
                <w:i/>
                <w:lang w:val="pl-PL"/>
              </w:rPr>
              <w:t>)</w:t>
            </w:r>
            <w:r w:rsidRPr="00CB45C2">
              <w:rPr>
                <w:lang w:val="pl-PL"/>
              </w:rPr>
              <w:t>,</w:t>
            </w:r>
          </w:p>
          <w:p w:rsidR="00F63911" w:rsidRPr="00613E43" w:rsidRDefault="00F63911" w:rsidP="00EB07BC">
            <w:pPr>
              <w:pStyle w:val="JOFFLReferencelist"/>
              <w:rPr>
                <w:lang w:val="pl-PL"/>
              </w:rPr>
            </w:pPr>
            <w:hyperlink r:id="rId9" w:history="1">
              <w:r w:rsidRPr="00F074C7">
                <w:rPr>
                  <w:rStyle w:val="Hipercze"/>
                  <w:lang w:val="pl-PL"/>
                </w:rPr>
                <w:t>https://www.knf.gov.pl/knf/pl/komponenty/img/Raport_KNF_11_2017_60290.pdf</w:t>
              </w:r>
            </w:hyperlink>
            <w:r>
              <w:rPr>
                <w:lang w:val="pl-PL"/>
              </w:rPr>
              <w:t xml:space="preserve"> </w:t>
            </w:r>
            <w:r w:rsidRPr="00613E43">
              <w:rPr>
                <w:lang w:val="pl-PL"/>
              </w:rPr>
              <w:t>[dostęp</w:t>
            </w:r>
            <w:r>
              <w:rPr>
                <w:lang w:val="pl-PL"/>
              </w:rPr>
              <w:t xml:space="preserve"> </w:t>
            </w:r>
            <w:r w:rsidRPr="00613E43">
              <w:rPr>
                <w:lang w:val="pl-PL"/>
              </w:rPr>
              <w:t>21.07.2019].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F63911" w:rsidRDefault="00F63911" w:rsidP="00EB07BC">
            <w:pPr>
              <w:spacing w:line="240" w:lineRule="auto"/>
              <w:rPr>
                <w:sz w:val="18"/>
                <w:lang w:val="en-US"/>
              </w:rPr>
            </w:pPr>
            <w:r w:rsidRPr="00E23CE0">
              <w:rPr>
                <w:sz w:val="18"/>
                <w:lang w:val="en-US"/>
              </w:rPr>
              <w:t>(OECD, 2011</w:t>
            </w:r>
            <w:r>
              <w:rPr>
                <w:sz w:val="18"/>
                <w:lang w:val="en-US"/>
              </w:rPr>
              <w:t>)</w:t>
            </w:r>
          </w:p>
          <w:p w:rsidR="00F63911" w:rsidRDefault="00F63911" w:rsidP="00EB07BC">
            <w:pPr>
              <w:spacing w:line="240" w:lineRule="auto"/>
              <w:rPr>
                <w:sz w:val="18"/>
                <w:lang w:val="en-US"/>
              </w:rPr>
            </w:pPr>
          </w:p>
          <w:p w:rsidR="00F63911" w:rsidRDefault="00F63911" w:rsidP="00EB07BC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</w:t>
            </w:r>
            <w:r w:rsidRPr="00E23CE0">
              <w:rPr>
                <w:sz w:val="18"/>
                <w:lang w:val="en-US"/>
              </w:rPr>
              <w:t>Certify, 2015</w:t>
            </w:r>
            <w:r>
              <w:rPr>
                <w:sz w:val="18"/>
                <w:lang w:val="en-US"/>
              </w:rPr>
              <w:t>)</w:t>
            </w:r>
          </w:p>
          <w:p w:rsidR="00F63911" w:rsidRDefault="00F63911" w:rsidP="00EB07BC">
            <w:pPr>
              <w:spacing w:line="240" w:lineRule="auto"/>
              <w:rPr>
                <w:sz w:val="18"/>
                <w:lang w:val="en-US"/>
              </w:rPr>
            </w:pPr>
          </w:p>
          <w:p w:rsidR="00F63911" w:rsidRDefault="00F63911" w:rsidP="00EB07BC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</w:t>
            </w:r>
            <w:r w:rsidRPr="00E23CE0">
              <w:rPr>
                <w:sz w:val="18"/>
                <w:lang w:val="en-US"/>
              </w:rPr>
              <w:t>EC, 2007</w:t>
            </w:r>
            <w:r>
              <w:rPr>
                <w:sz w:val="18"/>
                <w:lang w:val="en-US"/>
              </w:rPr>
              <w:t>)</w:t>
            </w:r>
          </w:p>
          <w:p w:rsidR="00F63911" w:rsidRDefault="00F63911" w:rsidP="00EB07BC">
            <w:pPr>
              <w:spacing w:line="240" w:lineRule="auto"/>
              <w:rPr>
                <w:sz w:val="18"/>
                <w:lang w:val="en-US"/>
              </w:rPr>
            </w:pPr>
          </w:p>
          <w:p w:rsidR="00F63911" w:rsidRPr="00E23CE0" w:rsidRDefault="00F63911" w:rsidP="00EB07BC">
            <w:pPr>
              <w:spacing w:line="240" w:lineRule="auto"/>
              <w:rPr>
                <w:rFonts w:asciiTheme="minorHAnsi" w:hAnsiTheme="minorHAnsi"/>
                <w:color w:val="89B137"/>
                <w:sz w:val="16"/>
              </w:rPr>
            </w:pPr>
            <w:r>
              <w:rPr>
                <w:sz w:val="18"/>
                <w:lang w:val="en-US"/>
              </w:rPr>
              <w:t>(</w:t>
            </w:r>
            <w:r w:rsidRPr="00E23CE0">
              <w:rPr>
                <w:sz w:val="18"/>
                <w:lang w:val="en-US"/>
              </w:rPr>
              <w:t>KNF, 2017)</w:t>
            </w:r>
          </w:p>
        </w:tc>
      </w:tr>
      <w:tr w:rsidR="00F63911" w:rsidRPr="00E23CE0" w:rsidTr="00F63911">
        <w:trPr>
          <w:trHeight w:val="284"/>
        </w:trPr>
        <w:tc>
          <w:tcPr>
            <w:tcW w:w="14170" w:type="dxa"/>
            <w:gridSpan w:val="2"/>
            <w:shd w:val="clear" w:color="auto" w:fill="7B7B7B" w:themeFill="accent3" w:themeFillShade="BF"/>
            <w:tcMar>
              <w:left w:w="57" w:type="dxa"/>
              <w:right w:w="57" w:type="dxa"/>
            </w:tcMar>
          </w:tcPr>
          <w:p w:rsidR="00F63911" w:rsidRPr="00E23CE0" w:rsidRDefault="00F63911" w:rsidP="00EB07BC">
            <w:pPr>
              <w:tabs>
                <w:tab w:val="left" w:pos="2730"/>
              </w:tabs>
              <w:spacing w:line="240" w:lineRule="auto"/>
              <w:jc w:val="center"/>
              <w:rPr>
                <w:rFonts w:asciiTheme="minorHAnsi" w:hAnsiTheme="minorHAnsi"/>
                <w:color w:val="89B137"/>
                <w:sz w:val="16"/>
                <w:lang w:val="en-US"/>
              </w:rPr>
            </w:pPr>
            <w:r w:rsidRPr="00E23CE0">
              <w:rPr>
                <w:sz w:val="28"/>
                <w:lang w:val="en-US"/>
              </w:rPr>
              <w:t>E-BOOK, PDF</w:t>
            </w:r>
          </w:p>
        </w:tc>
      </w:tr>
      <w:tr w:rsidR="00F63911" w:rsidRPr="00E23CE0" w:rsidTr="00F63911">
        <w:trPr>
          <w:trHeight w:val="284"/>
        </w:trPr>
        <w:tc>
          <w:tcPr>
            <w:tcW w:w="11052" w:type="dxa"/>
            <w:tcMar>
              <w:left w:w="57" w:type="dxa"/>
              <w:right w:w="57" w:type="dxa"/>
            </w:tcMar>
          </w:tcPr>
          <w:p w:rsidR="00F63911" w:rsidRPr="00666169" w:rsidRDefault="00F63911" w:rsidP="00EB07BC">
            <w:pPr>
              <w:pStyle w:val="JOFFLReferencelist"/>
            </w:pPr>
            <w:proofErr w:type="spellStart"/>
            <w:r w:rsidRPr="00FF698D">
              <w:t>Zusack</w:t>
            </w:r>
            <w:proofErr w:type="spellEnd"/>
            <w:r w:rsidRPr="00FF698D">
              <w:t xml:space="preserve">, M. (2015). </w:t>
            </w:r>
            <w:r w:rsidRPr="00666169">
              <w:rPr>
                <w:rStyle w:val="Uwydatnienie"/>
              </w:rPr>
              <w:t>The Book Thief</w:t>
            </w:r>
            <w:r w:rsidRPr="00666169">
              <w:t>. 1st ed. [</w:t>
            </w:r>
            <w:proofErr w:type="spellStart"/>
            <w:r w:rsidRPr="00666169">
              <w:t>ebook</w:t>
            </w:r>
            <w:proofErr w:type="spellEnd"/>
            <w:r w:rsidRPr="00666169">
              <w:t>] New York: Knopf</w:t>
            </w:r>
            <w:r>
              <w:t>,</w:t>
            </w:r>
            <w:r w:rsidRPr="00666169">
              <w:t xml:space="preserve"> </w:t>
            </w:r>
            <w:hyperlink r:id="rId10" w:history="1">
              <w:r w:rsidRPr="00F074C7">
                <w:rPr>
                  <w:rStyle w:val="Hipercze"/>
                </w:rPr>
                <w:t>http://ebooks.nypl.org/</w:t>
              </w:r>
            </w:hyperlink>
            <w:r>
              <w:t xml:space="preserve"> </w:t>
            </w:r>
            <w:r w:rsidRPr="00666169">
              <w:t>[Accessed 20.04.2015].</w:t>
            </w:r>
          </w:p>
          <w:p w:rsidR="00F63911" w:rsidRPr="00E23CE0" w:rsidRDefault="00F63911" w:rsidP="00EB07BC">
            <w:pPr>
              <w:pStyle w:val="JOFFLReferencelist"/>
              <w:rPr>
                <w:rFonts w:asciiTheme="minorHAnsi" w:hAnsiTheme="minorHAnsi"/>
                <w:color w:val="89B137"/>
                <w:sz w:val="16"/>
              </w:rPr>
            </w:pPr>
            <w:r w:rsidRPr="00666169">
              <w:t xml:space="preserve">Robin, J. (2014). </w:t>
            </w:r>
            <w:r w:rsidRPr="00666169">
              <w:rPr>
                <w:rStyle w:val="Uwydatnienie"/>
              </w:rPr>
              <w:t>A handbook for professional learning: research, resources, and strategies for implementation</w:t>
            </w:r>
            <w:r w:rsidRPr="00666169">
              <w:t>. 1st ed. [pdf] New York: NYC Department of Education</w:t>
            </w:r>
            <w:r>
              <w:t>,</w:t>
            </w:r>
            <w:r w:rsidRPr="00666169">
              <w:t xml:space="preserve"> </w:t>
            </w:r>
            <w:hyperlink r:id="rId11" w:history="1">
              <w:r w:rsidRPr="00F074C7">
                <w:rPr>
                  <w:rStyle w:val="Hipercze"/>
                </w:rPr>
                <w:t>http://schools.nyc.gov/</w:t>
              </w:r>
            </w:hyperlink>
            <w:r>
              <w:t xml:space="preserve"> </w:t>
            </w:r>
            <w:r w:rsidRPr="00666169">
              <w:t>[Accessed 14.04.2015].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F63911" w:rsidRPr="00071C66" w:rsidRDefault="00F63911" w:rsidP="00EB07BC">
            <w:pPr>
              <w:spacing w:line="240" w:lineRule="auto"/>
              <w:rPr>
                <w:iCs/>
                <w:color w:val="000000"/>
                <w:sz w:val="18"/>
              </w:rPr>
            </w:pPr>
            <w:r w:rsidRPr="00071C66">
              <w:rPr>
                <w:sz w:val="18"/>
              </w:rPr>
              <w:t>(</w:t>
            </w:r>
            <w:proofErr w:type="spellStart"/>
            <w:r w:rsidRPr="00071C66">
              <w:rPr>
                <w:iCs/>
                <w:color w:val="000000"/>
                <w:sz w:val="18"/>
              </w:rPr>
              <w:t>Zusack</w:t>
            </w:r>
            <w:proofErr w:type="spellEnd"/>
            <w:r w:rsidRPr="00071C66">
              <w:rPr>
                <w:iCs/>
                <w:color w:val="000000"/>
                <w:sz w:val="18"/>
              </w:rPr>
              <w:t>, 2015)</w:t>
            </w:r>
          </w:p>
          <w:p w:rsidR="00F63911" w:rsidRPr="00071C66" w:rsidRDefault="00F63911" w:rsidP="00EB07BC">
            <w:pPr>
              <w:spacing w:line="240" w:lineRule="auto"/>
              <w:rPr>
                <w:iCs/>
                <w:color w:val="000000"/>
                <w:sz w:val="18"/>
              </w:rPr>
            </w:pPr>
          </w:p>
          <w:p w:rsidR="00F63911" w:rsidRPr="00E23CE0" w:rsidRDefault="00F63911" w:rsidP="00EB07BC">
            <w:pPr>
              <w:spacing w:line="240" w:lineRule="auto"/>
              <w:rPr>
                <w:rFonts w:asciiTheme="minorHAnsi" w:hAnsiTheme="minorHAnsi"/>
                <w:color w:val="89B137"/>
                <w:sz w:val="16"/>
                <w:lang w:val="en-US"/>
              </w:rPr>
            </w:pPr>
            <w:r w:rsidRPr="00071C66">
              <w:rPr>
                <w:iCs/>
                <w:color w:val="000000"/>
                <w:sz w:val="18"/>
              </w:rPr>
              <w:t>(Robin, 2014)</w:t>
            </w:r>
          </w:p>
        </w:tc>
      </w:tr>
      <w:tr w:rsidR="00F63911" w:rsidRPr="00E23CE0" w:rsidTr="00F63911">
        <w:trPr>
          <w:trHeight w:val="284"/>
        </w:trPr>
        <w:tc>
          <w:tcPr>
            <w:tcW w:w="14170" w:type="dxa"/>
            <w:gridSpan w:val="2"/>
            <w:shd w:val="clear" w:color="auto" w:fill="7B7B7B" w:themeFill="accent3" w:themeFillShade="BF"/>
            <w:tcMar>
              <w:left w:w="57" w:type="dxa"/>
              <w:right w:w="57" w:type="dxa"/>
            </w:tcMar>
          </w:tcPr>
          <w:p w:rsidR="00F63911" w:rsidRPr="00E23CE0" w:rsidRDefault="00F63911" w:rsidP="00EB07BC">
            <w:pPr>
              <w:tabs>
                <w:tab w:val="left" w:pos="2730"/>
              </w:tabs>
              <w:spacing w:line="240" w:lineRule="auto"/>
              <w:jc w:val="center"/>
              <w:rPr>
                <w:rFonts w:asciiTheme="minorHAnsi" w:hAnsiTheme="minorHAnsi"/>
                <w:color w:val="89B137"/>
                <w:sz w:val="16"/>
                <w:lang w:val="en-US"/>
              </w:rPr>
            </w:pPr>
            <w:r w:rsidRPr="00071C66">
              <w:rPr>
                <w:sz w:val="28"/>
                <w:lang w:val="en-US"/>
              </w:rPr>
              <w:t>STRONY INTERNETOWE</w:t>
            </w:r>
          </w:p>
        </w:tc>
      </w:tr>
      <w:tr w:rsidR="00F63911" w:rsidRPr="00071C66" w:rsidTr="00F63911">
        <w:trPr>
          <w:trHeight w:val="284"/>
        </w:trPr>
        <w:tc>
          <w:tcPr>
            <w:tcW w:w="11052" w:type="dxa"/>
            <w:tcMar>
              <w:left w:w="57" w:type="dxa"/>
              <w:right w:w="57" w:type="dxa"/>
            </w:tcMar>
          </w:tcPr>
          <w:p w:rsidR="00F63911" w:rsidRPr="00FF698D" w:rsidRDefault="00F63911" w:rsidP="00EB07BC">
            <w:pPr>
              <w:pStyle w:val="JOFFLReferencelist"/>
            </w:pPr>
            <w:r w:rsidRPr="00FF698D">
              <w:t xml:space="preserve">Mms.com, </w:t>
            </w:r>
            <w:hyperlink r:id="rId12" w:history="1">
              <w:r w:rsidRPr="00F074C7">
                <w:rPr>
                  <w:rStyle w:val="Hipercze"/>
                </w:rPr>
                <w:t>http://www.mms.com/</w:t>
              </w:r>
            </w:hyperlink>
            <w:r>
              <w:t xml:space="preserve"> </w:t>
            </w:r>
            <w:r w:rsidRPr="00FF698D">
              <w:t>[Accessed 20.04.2015].</w:t>
            </w:r>
          </w:p>
          <w:p w:rsidR="00F63911" w:rsidRPr="00071C66" w:rsidRDefault="00F63911" w:rsidP="00EB07BC">
            <w:pPr>
              <w:pStyle w:val="JOFFLReferencelist"/>
              <w:rPr>
                <w:rFonts w:asciiTheme="minorHAnsi" w:hAnsiTheme="minorHAnsi"/>
                <w:color w:val="89B137"/>
                <w:sz w:val="16"/>
                <w:lang w:val="pl-PL"/>
              </w:rPr>
            </w:pPr>
            <w:r w:rsidRPr="00CB45C2">
              <w:rPr>
                <w:lang w:val="pl-PL"/>
              </w:rPr>
              <w:t xml:space="preserve">Pekao S.A., </w:t>
            </w:r>
            <w:hyperlink r:id="rId13" w:history="1">
              <w:r w:rsidRPr="00F074C7">
                <w:rPr>
                  <w:rStyle w:val="Hipercze"/>
                  <w:lang w:val="pl-PL"/>
                </w:rPr>
                <w:t>https://www.pekao.com.pl/</w:t>
              </w:r>
            </w:hyperlink>
            <w:r>
              <w:rPr>
                <w:lang w:val="pl-PL"/>
              </w:rPr>
              <w:t xml:space="preserve"> </w:t>
            </w:r>
            <w:r w:rsidRPr="00CB45C2">
              <w:rPr>
                <w:lang w:val="pl-PL"/>
              </w:rPr>
              <w:t>[dostęp 20.04.2015].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F63911" w:rsidRDefault="00F63911" w:rsidP="00EB07BC">
            <w:pPr>
              <w:spacing w:line="240" w:lineRule="auto"/>
              <w:rPr>
                <w:sz w:val="18"/>
              </w:rPr>
            </w:pPr>
            <w:r w:rsidRPr="00071C66">
              <w:rPr>
                <w:sz w:val="18"/>
              </w:rPr>
              <w:t>(Mms.com</w:t>
            </w:r>
            <w:r>
              <w:rPr>
                <w:sz w:val="18"/>
              </w:rPr>
              <w:t>)</w:t>
            </w:r>
          </w:p>
          <w:p w:rsidR="00F63911" w:rsidRPr="00071C66" w:rsidRDefault="00F63911" w:rsidP="00EB07BC">
            <w:pPr>
              <w:spacing w:line="240" w:lineRule="auto"/>
            </w:pPr>
            <w:r>
              <w:rPr>
                <w:sz w:val="18"/>
              </w:rPr>
              <w:t>(</w:t>
            </w:r>
            <w:r w:rsidRPr="00071C66">
              <w:rPr>
                <w:sz w:val="18"/>
              </w:rPr>
              <w:t>Pekao S.A.)</w:t>
            </w:r>
          </w:p>
        </w:tc>
      </w:tr>
      <w:tr w:rsidR="00F63911" w:rsidRPr="00071C66" w:rsidTr="00F63911">
        <w:trPr>
          <w:trHeight w:val="284"/>
        </w:trPr>
        <w:tc>
          <w:tcPr>
            <w:tcW w:w="14170" w:type="dxa"/>
            <w:gridSpan w:val="2"/>
            <w:tcMar>
              <w:left w:w="57" w:type="dxa"/>
              <w:right w:w="57" w:type="dxa"/>
            </w:tcMar>
          </w:tcPr>
          <w:p w:rsidR="00F63911" w:rsidRPr="00613E43" w:rsidRDefault="00F63911" w:rsidP="00EB07BC">
            <w:pPr>
              <w:spacing w:line="240" w:lineRule="auto"/>
              <w:rPr>
                <w:sz w:val="18"/>
                <w:szCs w:val="18"/>
              </w:rPr>
            </w:pPr>
            <w:r w:rsidRPr="00613E43">
              <w:rPr>
                <w:sz w:val="18"/>
                <w:szCs w:val="18"/>
                <w:shd w:val="clear" w:color="auto" w:fill="D9D9D9" w:themeFill="background1" w:themeFillShade="D9"/>
              </w:rPr>
              <w:t>UWAGA:</w:t>
            </w:r>
            <w:r w:rsidRPr="00613E43">
              <w:rPr>
                <w:sz w:val="18"/>
                <w:szCs w:val="18"/>
              </w:rPr>
              <w:t xml:space="preserve"> </w:t>
            </w:r>
          </w:p>
          <w:p w:rsidR="00F63911" w:rsidRPr="00613E43" w:rsidRDefault="00F63911" w:rsidP="00EB07BC">
            <w:pPr>
              <w:spacing w:line="240" w:lineRule="auto"/>
              <w:rPr>
                <w:sz w:val="18"/>
                <w:szCs w:val="18"/>
              </w:rPr>
            </w:pPr>
            <w:r w:rsidRPr="00613E43">
              <w:rPr>
                <w:sz w:val="18"/>
                <w:szCs w:val="18"/>
              </w:rPr>
              <w:t>Część adresów internetowych jest bardzo długa. W takim wypadku rekomendujemy podanie adresu tylko do pierwszego ukośnika /</w:t>
            </w:r>
          </w:p>
          <w:p w:rsidR="00F63911" w:rsidRPr="00613E43" w:rsidRDefault="00F63911" w:rsidP="00EB07BC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613E43">
              <w:rPr>
                <w:sz w:val="18"/>
                <w:szCs w:val="18"/>
                <w:lang w:val="en-US"/>
              </w:rPr>
              <w:t>Some online items have very long URLs. We recommend that you only put the URL as far as the first forward slash /.</w:t>
            </w:r>
          </w:p>
          <w:p w:rsidR="00F63911" w:rsidRPr="00613E43" w:rsidRDefault="00F63911" w:rsidP="00EB07BC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</w:p>
          <w:p w:rsidR="00F63911" w:rsidRPr="00613E43" w:rsidRDefault="00F63911" w:rsidP="00EB07BC">
            <w:pPr>
              <w:spacing w:line="240" w:lineRule="auto"/>
              <w:rPr>
                <w:b/>
                <w:sz w:val="18"/>
                <w:szCs w:val="18"/>
              </w:rPr>
            </w:pPr>
            <w:r w:rsidRPr="00613E43">
              <w:rPr>
                <w:b/>
                <w:sz w:val="18"/>
                <w:szCs w:val="18"/>
              </w:rPr>
              <w:t xml:space="preserve">Przykład / </w:t>
            </w:r>
            <w:proofErr w:type="spellStart"/>
            <w:r w:rsidRPr="00613E43">
              <w:rPr>
                <w:b/>
                <w:sz w:val="18"/>
                <w:szCs w:val="18"/>
              </w:rPr>
              <w:t>Example</w:t>
            </w:r>
            <w:proofErr w:type="spellEnd"/>
          </w:p>
          <w:p w:rsidR="00F63911" w:rsidRPr="00613E43" w:rsidRDefault="00F63911" w:rsidP="00EB07BC">
            <w:pPr>
              <w:spacing w:line="240" w:lineRule="auto"/>
              <w:rPr>
                <w:sz w:val="18"/>
                <w:szCs w:val="18"/>
              </w:rPr>
            </w:pPr>
            <w:hyperlink r:id="rId14" w:history="1">
              <w:r w:rsidRPr="00F074C7">
                <w:rPr>
                  <w:rStyle w:val="Hipercze"/>
                  <w:sz w:val="18"/>
                  <w:szCs w:val="18"/>
                </w:rPr>
                <w:t>https://www.tandfonline.com/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F63911" w:rsidRPr="00613E43" w:rsidRDefault="00F63911" w:rsidP="00EB07BC">
            <w:pPr>
              <w:spacing w:line="240" w:lineRule="auto"/>
              <w:rPr>
                <w:b/>
                <w:sz w:val="18"/>
                <w:szCs w:val="18"/>
              </w:rPr>
            </w:pPr>
            <w:r w:rsidRPr="00613E43">
              <w:rPr>
                <w:b/>
                <w:sz w:val="18"/>
                <w:szCs w:val="18"/>
              </w:rPr>
              <w:t xml:space="preserve">zamiast / </w:t>
            </w:r>
            <w:proofErr w:type="spellStart"/>
            <w:r w:rsidRPr="00613E43">
              <w:rPr>
                <w:b/>
                <w:sz w:val="18"/>
                <w:szCs w:val="18"/>
              </w:rPr>
              <w:t>rather</w:t>
            </w:r>
            <w:proofErr w:type="spellEnd"/>
            <w:r w:rsidRPr="00613E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13E43">
              <w:rPr>
                <w:b/>
                <w:sz w:val="18"/>
                <w:szCs w:val="18"/>
              </w:rPr>
              <w:t>than</w:t>
            </w:r>
            <w:proofErr w:type="spellEnd"/>
          </w:p>
          <w:p w:rsidR="00F63911" w:rsidRPr="00613E43" w:rsidRDefault="00F63911" w:rsidP="00EB07BC">
            <w:pPr>
              <w:spacing w:line="240" w:lineRule="auto"/>
              <w:rPr>
                <w:sz w:val="18"/>
                <w:szCs w:val="18"/>
              </w:rPr>
            </w:pPr>
            <w:hyperlink r:id="rId15" w:history="1">
              <w:r w:rsidRPr="00F074C7">
                <w:rPr>
                  <w:rStyle w:val="Hipercze"/>
                  <w:sz w:val="18"/>
                  <w:szCs w:val="18"/>
                </w:rPr>
                <w:t>https://www.tandfonline.com/doi/full/10.1080/03601277.2018.1555366?scroll=top&amp;needAccess=true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F63911" w:rsidRPr="00E23CE0" w:rsidTr="00F63911">
        <w:trPr>
          <w:trHeight w:val="284"/>
        </w:trPr>
        <w:tc>
          <w:tcPr>
            <w:tcW w:w="14170" w:type="dxa"/>
            <w:gridSpan w:val="2"/>
            <w:shd w:val="clear" w:color="auto" w:fill="7B7B7B" w:themeFill="accent3" w:themeFillShade="BF"/>
            <w:tcMar>
              <w:left w:w="57" w:type="dxa"/>
              <w:right w:w="57" w:type="dxa"/>
            </w:tcMar>
          </w:tcPr>
          <w:p w:rsidR="00F63911" w:rsidRPr="00071C66" w:rsidRDefault="00F63911" w:rsidP="00EB07BC">
            <w:pPr>
              <w:tabs>
                <w:tab w:val="left" w:pos="2730"/>
              </w:tabs>
              <w:spacing w:line="240" w:lineRule="auto"/>
              <w:jc w:val="center"/>
              <w:rPr>
                <w:rFonts w:asciiTheme="minorHAnsi" w:hAnsiTheme="minorHAnsi"/>
                <w:color w:val="89B137"/>
                <w:sz w:val="16"/>
              </w:rPr>
            </w:pPr>
            <w:r w:rsidRPr="00071C66">
              <w:rPr>
                <w:sz w:val="28"/>
              </w:rPr>
              <w:t>AKTY PRAWNE, USTAWY, DYREKTYWY / REGULATION, DIRECTIVE</w:t>
            </w:r>
          </w:p>
        </w:tc>
      </w:tr>
      <w:tr w:rsidR="00F63911" w:rsidRPr="00071C66" w:rsidTr="00F63911">
        <w:trPr>
          <w:trHeight w:val="1688"/>
        </w:trPr>
        <w:tc>
          <w:tcPr>
            <w:tcW w:w="11052" w:type="dxa"/>
            <w:tcMar>
              <w:left w:w="57" w:type="dxa"/>
              <w:right w:w="57" w:type="dxa"/>
            </w:tcMar>
          </w:tcPr>
          <w:p w:rsidR="00F63911" w:rsidRPr="00071C66" w:rsidRDefault="00F63911" w:rsidP="00EB07BC">
            <w:pPr>
              <w:pStyle w:val="JOFFLReferencelist"/>
              <w:rPr>
                <w:lang w:val="pl-PL"/>
              </w:rPr>
            </w:pPr>
            <w:r w:rsidRPr="00071C66">
              <w:rPr>
                <w:lang w:val="pl-PL"/>
              </w:rPr>
              <w:t>Ustawa z dnia 29 sierpnia 1997 r. – Ordynacja podatkowa, Dz.U. 1997, nr 137, poz. 926.</w:t>
            </w:r>
          </w:p>
          <w:p w:rsidR="00F63911" w:rsidRPr="00071C66" w:rsidRDefault="00F63911" w:rsidP="00EB07BC">
            <w:pPr>
              <w:pStyle w:val="JOFFLReferencelist"/>
              <w:rPr>
                <w:lang w:val="pl-PL"/>
              </w:rPr>
            </w:pPr>
            <w:r w:rsidRPr="00071C66">
              <w:rPr>
                <w:lang w:val="pl-PL"/>
              </w:rPr>
              <w:t>Ustawa z dnia 17 listopada 1964 r. – Kodeks postępowania cywilnego, Dz.U. 2019, poz. 1460, ze zm.</w:t>
            </w:r>
          </w:p>
          <w:p w:rsidR="00F63911" w:rsidRPr="00CB45C2" w:rsidRDefault="00F63911" w:rsidP="00EB07BC">
            <w:pPr>
              <w:pStyle w:val="JOFFLReferencelist"/>
              <w:rPr>
                <w:lang w:val="pl-PL"/>
              </w:rPr>
            </w:pPr>
            <w:r w:rsidRPr="00CB45C2">
              <w:rPr>
                <w:lang w:val="pl-PL"/>
              </w:rPr>
              <w:t xml:space="preserve">Dyrektywa Parlamentu Europejskiego i Rady 2011/83/UE z dnia 25 października 2011 r. w sprawie praw konsumentów, zmieniająca dyrektywę Rady 93/13/EWG i dyrektywę 1999/44/WE Parlamentu Europejskiego i Rady oraz uchylająca dyrektywę Rady 85/577/EWG i dyrektywę 97/7/WE Parlamentu Europejskiego i Rady, </w:t>
            </w:r>
            <w:proofErr w:type="spellStart"/>
            <w:r w:rsidRPr="00CB45C2">
              <w:rPr>
                <w:lang w:val="pl-PL"/>
              </w:rPr>
              <w:t>Dz.Urz</w:t>
            </w:r>
            <w:proofErr w:type="spellEnd"/>
            <w:r w:rsidRPr="00CB45C2">
              <w:rPr>
                <w:lang w:val="pl-PL"/>
              </w:rPr>
              <w:t>. UE 2011, L 304/64.</w:t>
            </w:r>
          </w:p>
          <w:p w:rsidR="00F63911" w:rsidRPr="00071C66" w:rsidRDefault="00F63911" w:rsidP="00EB07BC">
            <w:pPr>
              <w:pStyle w:val="JOFFLReferencelist"/>
              <w:rPr>
                <w:rFonts w:asciiTheme="minorHAnsi" w:hAnsiTheme="minorHAnsi"/>
                <w:color w:val="89B137"/>
                <w:sz w:val="16"/>
              </w:rPr>
            </w:pPr>
            <w:r w:rsidRPr="00666169">
              <w:t xml:space="preserve">Council directive 1999/2/EC on the approximation of the laws of the Member States concerning foods and food ingredients treated with </w:t>
            </w:r>
            <w:proofErr w:type="spellStart"/>
            <w:r w:rsidRPr="00666169">
              <w:t>ionising</w:t>
            </w:r>
            <w:proofErr w:type="spellEnd"/>
            <w:r w:rsidRPr="00666169">
              <w:t xml:space="preserve"> radiation, 1999, </w:t>
            </w:r>
            <w:r w:rsidRPr="00666169">
              <w:rPr>
                <w:rStyle w:val="Uwydatnienie"/>
              </w:rPr>
              <w:t xml:space="preserve">Official Journal </w:t>
            </w:r>
            <w:r w:rsidRPr="00666169">
              <w:t>L66, p. 16.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F63911" w:rsidRDefault="00F63911" w:rsidP="00EB07BC">
            <w:pPr>
              <w:spacing w:line="240" w:lineRule="auto"/>
              <w:rPr>
                <w:sz w:val="18"/>
                <w:szCs w:val="18"/>
              </w:rPr>
            </w:pPr>
            <w:r w:rsidRPr="00071C66">
              <w:rPr>
                <w:sz w:val="18"/>
                <w:szCs w:val="18"/>
              </w:rPr>
              <w:t>(Ustawa z dnia 29 sierpnia 1997 r.</w:t>
            </w:r>
            <w:r>
              <w:rPr>
                <w:sz w:val="18"/>
                <w:szCs w:val="18"/>
              </w:rPr>
              <w:t>)</w:t>
            </w:r>
          </w:p>
          <w:p w:rsidR="00F63911" w:rsidRDefault="00F63911" w:rsidP="00EB07B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071C66">
              <w:rPr>
                <w:sz w:val="18"/>
                <w:szCs w:val="18"/>
              </w:rPr>
              <w:t>Ustawa z dnia 17 listopada 1964 r.</w:t>
            </w:r>
            <w:r>
              <w:rPr>
                <w:sz w:val="18"/>
                <w:szCs w:val="18"/>
              </w:rPr>
              <w:t>)</w:t>
            </w:r>
            <w:r w:rsidRPr="00071C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071C66">
              <w:rPr>
                <w:sz w:val="18"/>
                <w:szCs w:val="18"/>
              </w:rPr>
              <w:t>Dyrektywa Parlamentu Europejskiego i Rady 2011/83/UE</w:t>
            </w:r>
            <w:r>
              <w:rPr>
                <w:sz w:val="18"/>
                <w:szCs w:val="18"/>
              </w:rPr>
              <w:t>)</w:t>
            </w:r>
          </w:p>
          <w:p w:rsidR="00F63911" w:rsidRDefault="00F63911" w:rsidP="00EB07BC">
            <w:pPr>
              <w:spacing w:line="240" w:lineRule="auto"/>
              <w:rPr>
                <w:sz w:val="18"/>
                <w:szCs w:val="18"/>
              </w:rPr>
            </w:pPr>
          </w:p>
          <w:p w:rsidR="00F63911" w:rsidRPr="00071C66" w:rsidRDefault="00F63911" w:rsidP="00EB07BC">
            <w:pPr>
              <w:spacing w:line="240" w:lineRule="auto"/>
              <w:rPr>
                <w:rFonts w:asciiTheme="minorHAnsi" w:hAnsiTheme="minorHAnsi"/>
                <w:color w:val="89B137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071C66">
              <w:rPr>
                <w:sz w:val="18"/>
                <w:szCs w:val="18"/>
              </w:rPr>
              <w:t>Council</w:t>
            </w:r>
            <w:proofErr w:type="spellEnd"/>
            <w:r w:rsidRPr="00071C66">
              <w:rPr>
                <w:sz w:val="18"/>
                <w:szCs w:val="18"/>
              </w:rPr>
              <w:t xml:space="preserve"> </w:t>
            </w:r>
            <w:proofErr w:type="spellStart"/>
            <w:r w:rsidRPr="00071C66">
              <w:rPr>
                <w:sz w:val="18"/>
                <w:szCs w:val="18"/>
              </w:rPr>
              <w:t>directive</w:t>
            </w:r>
            <w:proofErr w:type="spellEnd"/>
            <w:r w:rsidRPr="00071C66">
              <w:rPr>
                <w:sz w:val="18"/>
                <w:szCs w:val="18"/>
              </w:rPr>
              <w:t xml:space="preserve"> 1999/2/EC)</w:t>
            </w:r>
          </w:p>
        </w:tc>
      </w:tr>
    </w:tbl>
    <w:p w:rsidR="00486165" w:rsidRDefault="00F63911">
      <w:bookmarkStart w:id="3" w:name="_GoBack"/>
      <w:bookmarkEnd w:id="3"/>
    </w:p>
    <w:sectPr w:rsidR="00486165" w:rsidSect="00F63911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5120A"/>
    <w:multiLevelType w:val="hybridMultilevel"/>
    <w:tmpl w:val="F15AA1F2"/>
    <w:lvl w:ilvl="0" w:tplc="47ECB85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11"/>
    <w:rsid w:val="00505203"/>
    <w:rsid w:val="00671EC9"/>
    <w:rsid w:val="00F6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AB5A"/>
  <w15:chartTrackingRefBased/>
  <w15:docId w15:val="{CB35B735-ADFB-4986-96A2-995FCCC4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3911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911"/>
    <w:pPr>
      <w:ind w:left="720"/>
      <w:contextualSpacing/>
    </w:pPr>
  </w:style>
  <w:style w:type="table" w:styleId="Tabela-Siatka">
    <w:name w:val="Table Grid"/>
    <w:basedOn w:val="Standardowy"/>
    <w:uiPriority w:val="59"/>
    <w:rsid w:val="00F639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F63911"/>
    <w:rPr>
      <w:i/>
      <w:iCs/>
    </w:rPr>
  </w:style>
  <w:style w:type="paragraph" w:customStyle="1" w:styleId="JOFFLReferencelist">
    <w:name w:val="JOFFL_Reference list"/>
    <w:basedOn w:val="Normalny"/>
    <w:link w:val="JOFFLReferencelistZnak"/>
    <w:qFormat/>
    <w:rsid w:val="00F63911"/>
    <w:pPr>
      <w:suppressAutoHyphens/>
      <w:spacing w:line="240" w:lineRule="auto"/>
      <w:ind w:left="397" w:hanging="397"/>
      <w:jc w:val="both"/>
    </w:pPr>
    <w:rPr>
      <w:sz w:val="18"/>
      <w:szCs w:val="18"/>
      <w:lang w:val="en-US"/>
    </w:rPr>
  </w:style>
  <w:style w:type="character" w:customStyle="1" w:styleId="JOFFLReferencelistZnak">
    <w:name w:val="JOFFL_Reference list Znak"/>
    <w:basedOn w:val="Domylnaczcionkaakapitu"/>
    <w:link w:val="JOFFLReferencelist"/>
    <w:rsid w:val="00F63911"/>
    <w:rPr>
      <w:rFonts w:ascii="Times New Roman" w:eastAsia="Times New Roman" w:hAnsi="Times New Roman" w:cs="Times New Roman"/>
      <w:sz w:val="18"/>
      <w:szCs w:val="18"/>
      <w:lang w:val="en-US" w:eastAsia="pl-PL"/>
    </w:rPr>
  </w:style>
  <w:style w:type="paragraph" w:customStyle="1" w:styleId="JOFFLBibliografiapozycje">
    <w:name w:val="JOFFL_Bibliografia pozycje"/>
    <w:basedOn w:val="Normalny"/>
    <w:link w:val="JOFFLBibliografiapozycjeZnak"/>
    <w:rsid w:val="00F63911"/>
    <w:pPr>
      <w:spacing w:line="240" w:lineRule="auto"/>
      <w:ind w:left="397" w:hanging="397"/>
      <w:jc w:val="both"/>
    </w:pPr>
    <w:rPr>
      <w:sz w:val="18"/>
      <w:szCs w:val="18"/>
      <w:lang w:val="en-US"/>
    </w:rPr>
  </w:style>
  <w:style w:type="character" w:customStyle="1" w:styleId="JOFFLBibliografiapozycjeZnak">
    <w:name w:val="JOFFL_Bibliografia pozycje Znak"/>
    <w:basedOn w:val="Domylnaczcionkaakapitu"/>
    <w:link w:val="JOFFLBibliografiapozycje"/>
    <w:rsid w:val="00F63911"/>
    <w:rPr>
      <w:rFonts w:ascii="Times New Roman" w:eastAsia="Times New Roman" w:hAnsi="Times New Roman" w:cs="Times New Roman"/>
      <w:sz w:val="18"/>
      <w:szCs w:val="18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F639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3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ify.com/CertifySpendSmartReport.aspx" TargetMode="External"/><Relationship Id="rId13" Type="http://schemas.openxmlformats.org/officeDocument/2006/relationships/hyperlink" Target="https://www.peka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787/aeo-2011-en" TargetMode="External"/><Relationship Id="rId12" Type="http://schemas.openxmlformats.org/officeDocument/2006/relationships/hyperlink" Target="http://www.mms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rwisy.gazetaprawna.pl/edukacja/artykuly/979448,kredyt-studencki-jak-uzyskacsplata.html" TargetMode="External"/><Relationship Id="rId11" Type="http://schemas.openxmlformats.org/officeDocument/2006/relationships/hyperlink" Target="http://schools.nyc.gov/" TargetMode="External"/><Relationship Id="rId5" Type="http://schemas.openxmlformats.org/officeDocument/2006/relationships/hyperlink" Target="http://www.proquest.com/products-services/ProQuest-Research-Library.html" TargetMode="External"/><Relationship Id="rId15" Type="http://schemas.openxmlformats.org/officeDocument/2006/relationships/hyperlink" Target="https://www.tandfonline.com/doi/full/10.1080/03601277.2018.1555366?scroll=top&amp;needAccess=true" TargetMode="External"/><Relationship Id="rId10" Type="http://schemas.openxmlformats.org/officeDocument/2006/relationships/hyperlink" Target="http://ebooks.nyp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nf.gov.pl/knf/pl/komponenty/img/Raport_KNF_11_2017_60290.pdf" TargetMode="External"/><Relationship Id="rId14" Type="http://schemas.openxmlformats.org/officeDocument/2006/relationships/hyperlink" Target="https://www.tandfonline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Logistyki i Informatyki</dc:creator>
  <cp:keywords/>
  <dc:description/>
  <cp:lastModifiedBy>Instytut Logistyki i Informatyki</cp:lastModifiedBy>
  <cp:revision>1</cp:revision>
  <dcterms:created xsi:type="dcterms:W3CDTF">2024-02-02T22:25:00Z</dcterms:created>
  <dcterms:modified xsi:type="dcterms:W3CDTF">2024-02-02T22:34:00Z</dcterms:modified>
</cp:coreProperties>
</file>